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1565792947"/>
        <w:docPartObj>
          <w:docPartGallery w:val="Cover Pages"/>
          <w:docPartUnique/>
        </w:docPartObj>
      </w:sdtPr>
      <w:sdtEndPr>
        <w:rPr>
          <w:sz w:val="24"/>
          <w:szCs w:val="24"/>
        </w:rPr>
      </w:sdtEndPr>
      <w:sdtContent>
        <w:p w14:paraId="07EBA6C4" w14:textId="0911C2CA" w:rsidR="000D01A6" w:rsidRDefault="00D04208">
          <w:pPr>
            <w:pStyle w:val="NoSpacing"/>
            <w:rPr>
              <w:sz w:val="2"/>
            </w:rPr>
          </w:pPr>
          <w:r>
            <w:rPr>
              <w:noProof/>
            </w:rPr>
            <mc:AlternateContent>
              <mc:Choice Requires="wps">
                <w:drawing>
                  <wp:anchor distT="0" distB="0" distL="114300" distR="114300" simplePos="0" relativeHeight="251661312" behindDoc="0" locked="0" layoutInCell="1" allowOverlap="1" wp14:anchorId="418F7D53" wp14:editId="096A6B85">
                    <wp:simplePos x="0" y="0"/>
                    <wp:positionH relativeFrom="margin">
                      <wp:align>left</wp:align>
                    </wp:positionH>
                    <wp:positionV relativeFrom="margin">
                      <wp:align>top</wp:align>
                    </wp:positionV>
                    <wp:extent cx="5943600" cy="201880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5943600" cy="201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323E4F" w:themeColor="text2" w:themeShade="BF"/>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color w:val="323E4F" w:themeColor="text2" w:themeShade="BF"/>
                                    <w:sz w:val="68"/>
                                    <w:szCs w:val="68"/>
                                  </w:rPr>
                                </w:sdtEndPr>
                                <w:sdtContent>
                                  <w:p w14:paraId="5BC745F4" w14:textId="0F2DD5D3" w:rsidR="000D01A6" w:rsidRDefault="009F66E6">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bCs/>
                                        <w:caps/>
                                        <w:color w:val="323E4F" w:themeColor="text2" w:themeShade="BF"/>
                                        <w:sz w:val="64"/>
                                        <w:szCs w:val="64"/>
                                      </w:rPr>
                                      <w:t>Athanasius’ Thorn</w:t>
                                    </w:r>
                                  </w:p>
                                </w:sdtContent>
                              </w:sdt>
                              <w:p w14:paraId="06D37916" w14:textId="7546B2B2" w:rsidR="000D01A6" w:rsidRDefault="000D01A6">
                                <w:pPr>
                                  <w:pStyle w:val="NoSpacing"/>
                                  <w:spacing w:before="120"/>
                                  <w:rPr>
                                    <w:color w:val="5B9BD5" w:themeColor="accent1"/>
                                    <w:sz w:val="36"/>
                                    <w:szCs w:val="36"/>
                                  </w:rPr>
                                </w:pPr>
                                <w:sdt>
                                  <w:sdtPr>
                                    <w:rPr>
                                      <w:color w:val="2F5496" w:themeColor="accent5" w:themeShade="BF"/>
                                      <w:sz w:val="52"/>
                                      <w:szCs w:val="5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AB6AE6">
                                      <w:rPr>
                                        <w:color w:val="2F5496" w:themeColor="accent5" w:themeShade="BF"/>
                                        <w:sz w:val="52"/>
                                        <w:szCs w:val="52"/>
                                      </w:rPr>
                                      <w:t>The Schismatic Egyptian Meletians</w:t>
                                    </w:r>
                                  </w:sdtContent>
                                </w:sdt>
                                <w:r>
                                  <w:rPr>
                                    <w:noProof/>
                                  </w:rPr>
                                  <w:t xml:space="preserve"> </w:t>
                                </w:r>
                              </w:p>
                              <w:p w14:paraId="79D8F37E" w14:textId="77777777" w:rsidR="000D01A6" w:rsidRDefault="000D01A6"/>
                              <w:p w14:paraId="6D2F3755" w14:textId="6D2EC572" w:rsidR="00D04208" w:rsidRPr="00D04208" w:rsidRDefault="00D04208">
                                <w:pPr>
                                  <w:rPr>
                                    <w:sz w:val="28"/>
                                    <w:szCs w:val="28"/>
                                  </w:rPr>
                                </w:pPr>
                                <w:r w:rsidRPr="00D04208">
                                  <w:rPr>
                                    <w:sz w:val="28"/>
                                    <w:szCs w:val="28"/>
                                  </w:rPr>
                                  <w:t>John W. Gillis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18F7D53" id="_x0000_t202" coordsize="21600,21600" o:spt="202" path="m,l,21600r21600,l21600,xe">
                    <v:stroke joinstyle="miter"/>
                    <v:path gradientshapeok="t" o:connecttype="rect"/>
                  </v:shapetype>
                  <v:shape id="Text Box 62" o:spid="_x0000_s1026" type="#_x0000_t202" style="position:absolute;left:0;text-align:left;margin-left:0;margin-top:0;width:468pt;height:158.95pt;z-index:251661312;visibility:visible;mso-wrap-style:square;mso-width-percent:765;mso-height-percent:0;mso-wrap-distance-left:9pt;mso-wrap-distance-top:0;mso-wrap-distance-right:9pt;mso-wrap-distance-bottom:0;mso-position-horizontal:left;mso-position-horizontal-relative:margin;mso-position-vertical:top;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" filled="f" stroked="f" strokeweight=".5pt">
                    <v:textbox>
                      <w:txbxContent>
                        <w:sdt>
                          <w:sdtPr>
                            <w:rPr>
                              <w:rFonts w:asciiTheme="majorHAnsi" w:eastAsiaTheme="majorEastAsia" w:hAnsiTheme="majorHAnsi" w:cstheme="majorBidi"/>
                              <w:b/>
                              <w:bCs/>
                              <w:caps/>
                              <w:color w:val="323E4F" w:themeColor="text2" w:themeShade="BF"/>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color w:val="323E4F" w:themeColor="text2" w:themeShade="BF"/>
                              <w:sz w:val="68"/>
                              <w:szCs w:val="68"/>
                            </w:rPr>
                          </w:sdtEndPr>
                          <w:sdtContent>
                            <w:p w14:paraId="5BC745F4" w14:textId="0F2DD5D3" w:rsidR="000D01A6" w:rsidRDefault="009F66E6">
                              <w:pPr>
                                <w:pStyle w:val="NoSpacing"/>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b/>
                                  <w:bCs/>
                                  <w:caps/>
                                  <w:color w:val="323E4F" w:themeColor="text2" w:themeShade="BF"/>
                                  <w:sz w:val="64"/>
                                  <w:szCs w:val="64"/>
                                </w:rPr>
                                <w:t>Athanasius’ Thorn</w:t>
                              </w:r>
                            </w:p>
                          </w:sdtContent>
                        </w:sdt>
                        <w:p w14:paraId="06D37916" w14:textId="7546B2B2" w:rsidR="000D01A6" w:rsidRDefault="000D01A6">
                          <w:pPr>
                            <w:pStyle w:val="NoSpacing"/>
                            <w:spacing w:before="120"/>
                            <w:rPr>
                              <w:color w:val="5B9BD5" w:themeColor="accent1"/>
                              <w:sz w:val="36"/>
                              <w:szCs w:val="36"/>
                            </w:rPr>
                          </w:pPr>
                          <w:sdt>
                            <w:sdtPr>
                              <w:rPr>
                                <w:color w:val="2F5496" w:themeColor="accent5" w:themeShade="BF"/>
                                <w:sz w:val="52"/>
                                <w:szCs w:val="52"/>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Content>
                              <w:r w:rsidRPr="00AB6AE6">
                                <w:rPr>
                                  <w:color w:val="2F5496" w:themeColor="accent5" w:themeShade="BF"/>
                                  <w:sz w:val="52"/>
                                  <w:szCs w:val="52"/>
                                </w:rPr>
                                <w:t>The Schismatic Egyptian Meletians</w:t>
                              </w:r>
                            </w:sdtContent>
                          </w:sdt>
                          <w:r>
                            <w:rPr>
                              <w:noProof/>
                            </w:rPr>
                            <w:t xml:space="preserve"> </w:t>
                          </w:r>
                        </w:p>
                        <w:p w14:paraId="79D8F37E" w14:textId="77777777" w:rsidR="000D01A6" w:rsidRDefault="000D01A6"/>
                        <w:p w14:paraId="6D2F3755" w14:textId="6D2EC572" w:rsidR="00D04208" w:rsidRPr="00D04208" w:rsidRDefault="00D04208">
                          <w:pPr>
                            <w:rPr>
                              <w:sz w:val="28"/>
                              <w:szCs w:val="28"/>
                            </w:rPr>
                          </w:pPr>
                          <w:r w:rsidRPr="00D04208">
                            <w:rPr>
                              <w:sz w:val="28"/>
                              <w:szCs w:val="28"/>
                            </w:rPr>
                            <w:t>John W. Gillis</w:t>
                          </w:r>
                        </w:p>
                      </w:txbxContent>
                    </v:textbox>
                    <w10:wrap anchorx="margin" anchory="margin"/>
                  </v:shape>
                </w:pict>
              </mc:Fallback>
            </mc:AlternateContent>
          </w:r>
        </w:p>
        <w:p w14:paraId="76695284" w14:textId="3D4B33DF" w:rsidR="000D01A6" w:rsidRDefault="000D01A6">
          <w:r>
            <w:rPr>
              <w:noProof/>
              <w:color w:val="5B9BD5" w:themeColor="accent1"/>
              <w:sz w:val="36"/>
              <w:szCs w:val="36"/>
            </w:rPr>
            <mc:AlternateContent>
              <mc:Choice Requires="wpg">
                <w:drawing>
                  <wp:anchor distT="0" distB="0" distL="114300" distR="114300" simplePos="0" relativeHeight="251660288" behindDoc="1" locked="0" layoutInCell="1" allowOverlap="1" wp14:anchorId="61D9B88B" wp14:editId="7889A7E6">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6F4AB92"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1D8F8A2" w14:textId="4AF8062C" w:rsidR="000D01A6" w:rsidRDefault="00EE7375">
          <w:pPr>
            <w:spacing w:line="259" w:lineRule="auto"/>
            <w:ind w:firstLine="0"/>
            <w:rPr>
              <w:sz w:val="24"/>
              <w:szCs w:val="24"/>
            </w:rPr>
          </w:pPr>
          <w:r>
            <w:rPr>
              <w:noProof/>
            </w:rPr>
            <mc:AlternateContent>
              <mc:Choice Requires="wps">
                <w:drawing>
                  <wp:anchor distT="0" distB="0" distL="114300" distR="114300" simplePos="0" relativeHeight="251659264" behindDoc="0" locked="0" layoutInCell="1" allowOverlap="1" wp14:anchorId="53FB28FA" wp14:editId="4DAC1B77">
                    <wp:simplePos x="0" y="0"/>
                    <wp:positionH relativeFrom="margin">
                      <wp:posOffset>285008</wp:posOffset>
                    </wp:positionH>
                    <wp:positionV relativeFrom="margin">
                      <wp:align>bottom</wp:align>
                    </wp:positionV>
                    <wp:extent cx="5943600" cy="961901"/>
                    <wp:effectExtent l="0" t="0" r="0" b="10160"/>
                    <wp:wrapNone/>
                    <wp:docPr id="69" name="Text Box 69"/>
                    <wp:cNvGraphicFramePr/>
                    <a:graphic xmlns:a="http://schemas.openxmlformats.org/drawingml/2006/main">
                      <a:graphicData uri="http://schemas.microsoft.com/office/word/2010/wordprocessingShape">
                        <wps:wsp>
                          <wps:cNvSpPr txBox="1"/>
                          <wps:spPr>
                            <a:xfrm>
                              <a:off x="0" y="0"/>
                              <a:ext cx="5943600" cy="961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212F3" w14:textId="2C8EDD5B" w:rsidR="000D01A6" w:rsidRDefault="000D01A6">
                                <w:pPr>
                                  <w:pStyle w:val="NoSpacing"/>
                                  <w:jc w:val="right"/>
                                  <w:rPr>
                                    <w:color w:val="5B9BD5" w:themeColor="accent1"/>
                                    <w:sz w:val="36"/>
                                    <w:szCs w:val="36"/>
                                  </w:rPr>
                                </w:pPr>
                                <w:sdt>
                                  <w:sdtPr>
                                    <w:rPr>
                                      <w:color w:val="5B9BD5"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sidR="001C10CD">
                                      <w:rPr>
                                        <w:color w:val="5B9BD5" w:themeColor="accent1"/>
                                        <w:sz w:val="36"/>
                                        <w:szCs w:val="36"/>
                                      </w:rPr>
                                      <w:t xml:space="preserve">     </w:t>
                                    </w:r>
                                  </w:sdtContent>
                                </w:sdt>
                              </w:p>
                              <w:p w14:paraId="519DB697" w14:textId="5688AC2D" w:rsidR="000D01A6" w:rsidRDefault="000D01A6">
                                <w:pPr>
                                  <w:pStyle w:val="NoSpacing"/>
                                  <w:jc w:val="right"/>
                                  <w:rPr>
                                    <w:color w:val="5B9BD5" w:themeColor="accent1"/>
                                    <w:sz w:val="36"/>
                                    <w:szCs w:val="36"/>
                                  </w:rPr>
                                </w:pPr>
                              </w:p>
                              <w:p w14:paraId="591B69A7" w14:textId="05724682" w:rsidR="00826048" w:rsidRPr="00840FE3" w:rsidRDefault="00826048">
                                <w:pPr>
                                  <w:pStyle w:val="NoSpacing"/>
                                  <w:jc w:val="right"/>
                                  <w:rPr>
                                    <w:color w:val="5B9BD5" w:themeColor="accent1"/>
                                    <w:sz w:val="24"/>
                                    <w:szCs w:val="24"/>
                                  </w:rPr>
                                </w:pPr>
                                <w:r w:rsidRPr="00840FE3">
                                  <w:rPr>
                                    <w:color w:val="5B9BD5" w:themeColor="accent1"/>
                                    <w:sz w:val="24"/>
                                    <w:szCs w:val="24"/>
                                  </w:rPr>
                                  <w:t>Copyright 2014, John W Gillis &amp; MaybeToday.org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53FB28FA" id="Text Box 69" o:spid="_x0000_s1027" type="#_x0000_t202" style="position:absolute;margin-left:22.45pt;margin-top:0;width:468pt;height:75.75pt;z-index:251659264;visibility:visible;mso-wrap-style:square;mso-width-percent:765;mso-height-percent:0;mso-wrap-distance-left:9pt;mso-wrap-distance-top:0;mso-wrap-distance-right:9pt;mso-wrap-distance-bottom:0;mso-position-horizontal:absolute;mso-position-horizontal-relative:margin;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" filled="f" stroked="f" strokeweight=".5pt">
                    <v:textbox inset="0,0,0,0">
                      <w:txbxContent>
                        <w:p w14:paraId="130212F3" w14:textId="2C8EDD5B" w:rsidR="000D01A6" w:rsidRDefault="000D01A6">
                          <w:pPr>
                            <w:pStyle w:val="NoSpacing"/>
                            <w:jc w:val="right"/>
                            <w:rPr>
                              <w:color w:val="5B9BD5" w:themeColor="accent1"/>
                              <w:sz w:val="36"/>
                              <w:szCs w:val="36"/>
                            </w:rPr>
                          </w:pPr>
                          <w:sdt>
                            <w:sdtPr>
                              <w:rPr>
                                <w:color w:val="5B9BD5"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Content>
                              <w:r w:rsidR="001C10CD">
                                <w:rPr>
                                  <w:color w:val="5B9BD5" w:themeColor="accent1"/>
                                  <w:sz w:val="36"/>
                                  <w:szCs w:val="36"/>
                                </w:rPr>
                                <w:t xml:space="preserve">     </w:t>
                              </w:r>
                            </w:sdtContent>
                          </w:sdt>
                        </w:p>
                        <w:p w14:paraId="519DB697" w14:textId="5688AC2D" w:rsidR="000D01A6" w:rsidRDefault="000D01A6">
                          <w:pPr>
                            <w:pStyle w:val="NoSpacing"/>
                            <w:jc w:val="right"/>
                            <w:rPr>
                              <w:color w:val="5B9BD5" w:themeColor="accent1"/>
                              <w:sz w:val="36"/>
                              <w:szCs w:val="36"/>
                            </w:rPr>
                          </w:pPr>
                        </w:p>
                        <w:p w14:paraId="591B69A7" w14:textId="05724682" w:rsidR="00826048" w:rsidRPr="00840FE3" w:rsidRDefault="00826048">
                          <w:pPr>
                            <w:pStyle w:val="NoSpacing"/>
                            <w:jc w:val="right"/>
                            <w:rPr>
                              <w:color w:val="5B9BD5" w:themeColor="accent1"/>
                              <w:sz w:val="24"/>
                              <w:szCs w:val="24"/>
                            </w:rPr>
                          </w:pPr>
                          <w:r w:rsidRPr="00840FE3">
                            <w:rPr>
                              <w:color w:val="5B9BD5" w:themeColor="accent1"/>
                              <w:sz w:val="24"/>
                              <w:szCs w:val="24"/>
                            </w:rPr>
                            <w:t>Copyright 2014, John W Gillis &amp; MaybeToday.org</w:t>
                          </w:r>
                        </w:p>
                      </w:txbxContent>
                    </v:textbox>
                    <w10:wrap anchorx="margin" anchory="margin"/>
                  </v:shape>
                </w:pict>
              </mc:Fallback>
            </mc:AlternateContent>
          </w:r>
          <w:r w:rsidR="000D01A6">
            <w:rPr>
              <w:sz w:val="24"/>
              <w:szCs w:val="24"/>
            </w:rPr>
            <w:br w:type="page"/>
          </w:r>
        </w:p>
      </w:sdtContent>
    </w:sdt>
    <w:p w14:paraId="08098306" w14:textId="2234E243" w:rsidR="00D319A9" w:rsidRDefault="00BF1ACA">
      <w:pPr>
        <w:rPr>
          <w:sz w:val="24"/>
        </w:rPr>
      </w:pPr>
      <w:r>
        <w:rPr>
          <w:sz w:val="24"/>
        </w:rPr>
        <w:lastRenderedPageBreak/>
        <w:t xml:space="preserve">Sometime shortly after the </w:t>
      </w:r>
      <w:r w:rsidR="00777F53">
        <w:rPr>
          <w:sz w:val="24"/>
        </w:rPr>
        <w:t xml:space="preserve">onset of the </w:t>
      </w:r>
      <w:r w:rsidR="00EE190C">
        <w:rPr>
          <w:sz w:val="24"/>
        </w:rPr>
        <w:t>Diocletian p</w:t>
      </w:r>
      <w:r w:rsidR="00766AF4">
        <w:rPr>
          <w:sz w:val="24"/>
        </w:rPr>
        <w:t xml:space="preserve">ersecution </w:t>
      </w:r>
      <w:r w:rsidR="00AC30D4">
        <w:rPr>
          <w:sz w:val="24"/>
        </w:rPr>
        <w:t>in 303</w:t>
      </w:r>
      <w:r>
        <w:rPr>
          <w:sz w:val="24"/>
        </w:rPr>
        <w:t>, the Alexandrian Pope, Peter, was forced into hiding</w:t>
      </w:r>
      <w:r w:rsidR="00EE190C">
        <w:rPr>
          <w:sz w:val="24"/>
        </w:rPr>
        <w:t xml:space="preserve">. </w:t>
      </w:r>
      <w:r w:rsidR="00B81ABB">
        <w:rPr>
          <w:sz w:val="24"/>
        </w:rPr>
        <w:t>A response of s</w:t>
      </w:r>
      <w:r w:rsidR="00EE190C">
        <w:rPr>
          <w:sz w:val="24"/>
        </w:rPr>
        <w:t xml:space="preserve">uch passive resistance to the impious demands of tyranny was well-established in the tradition of the </w:t>
      </w:r>
      <w:r w:rsidR="00777F53">
        <w:rPr>
          <w:sz w:val="24"/>
        </w:rPr>
        <w:t>early</w:t>
      </w:r>
      <w:r w:rsidR="00EE190C">
        <w:rPr>
          <w:sz w:val="24"/>
        </w:rPr>
        <w:t xml:space="preserve"> Church</w:t>
      </w:r>
      <w:r w:rsidR="00E731EE">
        <w:rPr>
          <w:sz w:val="24"/>
        </w:rPr>
        <w:t xml:space="preserve">, but </w:t>
      </w:r>
      <w:r w:rsidR="00340087">
        <w:rPr>
          <w:sz w:val="24"/>
        </w:rPr>
        <w:t xml:space="preserve">could also </w:t>
      </w:r>
      <w:r w:rsidR="00A10C0B">
        <w:rPr>
          <w:sz w:val="24"/>
        </w:rPr>
        <w:t xml:space="preserve">be </w:t>
      </w:r>
      <w:r w:rsidR="00B81ABB">
        <w:rPr>
          <w:sz w:val="24"/>
        </w:rPr>
        <w:t xml:space="preserve">disdained </w:t>
      </w:r>
      <w:r w:rsidR="00E731EE">
        <w:rPr>
          <w:sz w:val="24"/>
        </w:rPr>
        <w:t xml:space="preserve">by some of the faithful, attracted to the virility of martyrdom. </w:t>
      </w:r>
      <w:r w:rsidR="00C40A9A">
        <w:rPr>
          <w:sz w:val="24"/>
        </w:rPr>
        <w:t>Half a century earlier, under the Decian persecutions, “</w:t>
      </w:r>
      <w:r w:rsidR="00C40A9A" w:rsidRPr="0040733F">
        <w:rPr>
          <w:sz w:val="24"/>
        </w:rPr>
        <w:t xml:space="preserve">a </w:t>
      </w:r>
      <w:r w:rsidR="00C40A9A">
        <w:rPr>
          <w:sz w:val="24"/>
        </w:rPr>
        <w:t>‘</w:t>
      </w:r>
      <w:r w:rsidR="00C40A9A" w:rsidRPr="0040733F">
        <w:rPr>
          <w:sz w:val="24"/>
        </w:rPr>
        <w:t>culture</w:t>
      </w:r>
      <w:r w:rsidR="00C40A9A">
        <w:rPr>
          <w:sz w:val="24"/>
        </w:rPr>
        <w:t>’</w:t>
      </w:r>
      <w:r w:rsidR="00C40A9A" w:rsidRPr="0040733F">
        <w:rPr>
          <w:sz w:val="24"/>
        </w:rPr>
        <w:t xml:space="preserve"> of Christian martyrdom</w:t>
      </w:r>
      <w:r w:rsidR="00C40A9A">
        <w:rPr>
          <w:sz w:val="24"/>
        </w:rPr>
        <w:t>”</w:t>
      </w:r>
      <w:r w:rsidR="00D319A9">
        <w:rPr>
          <w:rStyle w:val="FootnoteReference"/>
          <w:sz w:val="24"/>
        </w:rPr>
        <w:footnoteReference w:id="1"/>
      </w:r>
      <w:r w:rsidR="00D319A9">
        <w:rPr>
          <w:sz w:val="24"/>
        </w:rPr>
        <w:t xml:space="preserve"> emerged in Egypt, especially up-river, away from the Greco-Roman milieu of the great cosmopolitan city of Alexandria. This culture can be glimpsed in the </w:t>
      </w:r>
      <w:r w:rsidR="00D319A9">
        <w:rPr>
          <w:i/>
          <w:sz w:val="24"/>
        </w:rPr>
        <w:t>Coptic Apocalypse of Elijah</w:t>
      </w:r>
      <w:r w:rsidR="00D319A9">
        <w:rPr>
          <w:sz w:val="24"/>
        </w:rPr>
        <w:t>, written during the latter half of the third century,</w:t>
      </w:r>
      <w:r w:rsidR="00D319A9">
        <w:rPr>
          <w:rStyle w:val="FootnoteReference"/>
          <w:sz w:val="24"/>
        </w:rPr>
        <w:footnoteReference w:id="2"/>
      </w:r>
      <w:r w:rsidR="00D319A9">
        <w:rPr>
          <w:sz w:val="24"/>
        </w:rPr>
        <w:t xml:space="preserve"> a work combining modes of thought from post-pharaonic Egyptian popular religion with Jewish apocalyptic: </w:t>
      </w:r>
      <w:proofErr w:type="spellStart"/>
      <w:r w:rsidR="00D319A9">
        <w:rPr>
          <w:sz w:val="24"/>
        </w:rPr>
        <w:t>eschatologizing</w:t>
      </w:r>
      <w:proofErr w:type="spellEnd"/>
      <w:r w:rsidR="00D319A9">
        <w:rPr>
          <w:sz w:val="24"/>
        </w:rPr>
        <w:t xml:space="preserve"> conflict, glorifying martyrdom, and</w:t>
      </w:r>
      <w:r w:rsidR="00D319A9" w:rsidRPr="00D562ED">
        <w:rPr>
          <w:sz w:val="24"/>
        </w:rPr>
        <w:t xml:space="preserve"> </w:t>
      </w:r>
      <w:r w:rsidR="00D319A9" w:rsidRPr="005D004E">
        <w:rPr>
          <w:sz w:val="24"/>
        </w:rPr>
        <w:t>promising superior rewards for martyrs</w:t>
      </w:r>
      <w:r w:rsidR="00D319A9">
        <w:rPr>
          <w:sz w:val="24"/>
        </w:rPr>
        <w:t>,</w:t>
      </w:r>
      <w:r w:rsidR="00D319A9" w:rsidRPr="005D004E">
        <w:rPr>
          <w:sz w:val="24"/>
        </w:rPr>
        <w:t xml:space="preserve"> compared to those who flee from the</w:t>
      </w:r>
      <w:r w:rsidR="00D319A9">
        <w:rPr>
          <w:sz w:val="24"/>
        </w:rPr>
        <w:t xml:space="preserve"> "Lawless One" into the desert</w:t>
      </w:r>
      <w:r w:rsidR="00D319A9" w:rsidRPr="005D004E">
        <w:rPr>
          <w:sz w:val="24"/>
        </w:rPr>
        <w:t>.</w:t>
      </w:r>
      <w:r w:rsidR="00D319A9">
        <w:rPr>
          <w:rStyle w:val="FootnoteReference"/>
          <w:sz w:val="24"/>
        </w:rPr>
        <w:footnoteReference w:id="3"/>
      </w:r>
      <w:r w:rsidR="00D319A9">
        <w:rPr>
          <w:sz w:val="24"/>
        </w:rPr>
        <w:t xml:space="preserve"> This stalwart Egyptian fervor was recorded by Eusebius</w:t>
      </w:r>
      <w:r w:rsidR="00D319A9">
        <w:rPr>
          <w:rStyle w:val="FootnoteReference"/>
          <w:sz w:val="24"/>
        </w:rPr>
        <w:footnoteReference w:id="4"/>
      </w:r>
      <w:r w:rsidR="00D319A9">
        <w:rPr>
          <w:sz w:val="24"/>
        </w:rPr>
        <w:t xml:space="preserve"> during the post-Diocletian persecution under Maximin, as he relates the trial in Palestine of several Egyptian martyrs who ascribe to themselves the names of Hebrew prophets in their defiant witness to the faith. One can also see a similar, albeit less politically charged, spirit of rigorous enthusiasm in the monastic asceticism that emerged in the Egyptian desert during this same period.</w:t>
      </w:r>
    </w:p>
    <w:p w14:paraId="08098307" w14:textId="77777777" w:rsidR="00D319A9" w:rsidRDefault="00D319A9">
      <w:pPr>
        <w:rPr>
          <w:sz w:val="24"/>
        </w:rPr>
      </w:pPr>
      <w:r>
        <w:rPr>
          <w:sz w:val="24"/>
        </w:rPr>
        <w:t>It was out of this context of romanticized but stout zealotry that, during the Diocletian persecution, perhaps in 304 or 305, Bishop Meletius of Lycopolis went out from his See into “strange dioceses”, ordaining men willing to defy imperial suppression of the liturgy.</w:t>
      </w:r>
      <w:r>
        <w:rPr>
          <w:rStyle w:val="FootnoteReference"/>
          <w:sz w:val="24"/>
        </w:rPr>
        <w:footnoteReference w:id="5"/>
      </w:r>
      <w:r>
        <w:rPr>
          <w:sz w:val="24"/>
        </w:rPr>
        <w:t xml:space="preserve"> Yet in doing so, he was knowingly flouting the law of the Church.</w:t>
      </w:r>
      <w:r>
        <w:rPr>
          <w:rStyle w:val="FootnoteReference"/>
          <w:sz w:val="24"/>
        </w:rPr>
        <w:footnoteReference w:id="6"/>
      </w:r>
      <w:r>
        <w:rPr>
          <w:sz w:val="24"/>
        </w:rPr>
        <w:t xml:space="preserve"> This practice was an affront to Peter, in whose patriarchate it took place, and certainly also to the imprisoned bishops in whose dioceses Meletius had usurped the authority to ordain. Four of these fellow bishops of Upper Egypt, who had been imprisoned together, wrote to Meletius to express their angst, </w:t>
      </w:r>
      <w:r w:rsidRPr="005D004E">
        <w:rPr>
          <w:sz w:val="24"/>
        </w:rPr>
        <w:t>saddened at his "troubling the divine order and ecclesiastical rules"</w:t>
      </w:r>
      <w:r>
        <w:rPr>
          <w:sz w:val="24"/>
        </w:rPr>
        <w:t>.</w:t>
      </w:r>
      <w:r>
        <w:rPr>
          <w:rStyle w:val="FootnoteReference"/>
          <w:sz w:val="24"/>
        </w:rPr>
        <w:footnoteReference w:id="7"/>
      </w:r>
      <w:r>
        <w:rPr>
          <w:sz w:val="24"/>
        </w:rPr>
        <w:t xml:space="preserve"> They insisted that, if any ordinations </w:t>
      </w:r>
      <w:r>
        <w:rPr>
          <w:sz w:val="24"/>
        </w:rPr>
        <w:lastRenderedPageBreak/>
        <w:t>were indeed necessary, he</w:t>
      </w:r>
      <w:r w:rsidRPr="00F32631">
        <w:rPr>
          <w:sz w:val="24"/>
        </w:rPr>
        <w:t xml:space="preserve"> </w:t>
      </w:r>
      <w:r w:rsidRPr="005D004E">
        <w:rPr>
          <w:sz w:val="24"/>
        </w:rPr>
        <w:t>should have brought the matter to the imprisoned</w:t>
      </w:r>
      <w:r>
        <w:rPr>
          <w:sz w:val="24"/>
        </w:rPr>
        <w:t xml:space="preserve"> bishops, or at least to Peter.</w:t>
      </w:r>
      <w:r>
        <w:rPr>
          <w:rStyle w:val="FootnoteReference"/>
          <w:sz w:val="24"/>
        </w:rPr>
        <w:footnoteReference w:id="8"/>
      </w:r>
      <w:r>
        <w:rPr>
          <w:sz w:val="24"/>
        </w:rPr>
        <w:t xml:space="preserve"> Meletius gave no response to these bishops’ complaints. Rather, upon hearing of their executions, he immediately went to Alexandria, where he made an alliance with two sympathetic laymen, </w:t>
      </w:r>
      <w:r w:rsidRPr="005D004E">
        <w:rPr>
          <w:sz w:val="24"/>
        </w:rPr>
        <w:t>Isidore and Arius,</w:t>
      </w:r>
      <w:r>
        <w:rPr>
          <w:sz w:val="24"/>
        </w:rPr>
        <w:t xml:space="preserve"> who directed him to two presbyters to whom Peter had delegated authority, and who Meletius now either recruited to his cause</w:t>
      </w:r>
      <w:r>
        <w:rPr>
          <w:rStyle w:val="FootnoteReference"/>
          <w:sz w:val="24"/>
        </w:rPr>
        <w:footnoteReference w:id="9"/>
      </w:r>
      <w:r>
        <w:rPr>
          <w:sz w:val="24"/>
        </w:rPr>
        <w:t xml:space="preserve"> or excommunicated, appointing others in their stead.</w:t>
      </w:r>
      <w:r>
        <w:rPr>
          <w:rStyle w:val="FootnoteReference"/>
          <w:sz w:val="24"/>
        </w:rPr>
        <w:footnoteReference w:id="10"/>
      </w:r>
      <w:r>
        <w:rPr>
          <w:sz w:val="24"/>
        </w:rPr>
        <w:t xml:space="preserve"> In either event, Peter wrote to the Church in Alexandria, instructing them to avoid communion with Meletius until a synod could be assembled to adjudicate the matter.</w:t>
      </w:r>
      <w:r>
        <w:rPr>
          <w:rStyle w:val="FootnoteReference"/>
          <w:sz w:val="24"/>
        </w:rPr>
        <w:footnoteReference w:id="11"/>
      </w:r>
    </w:p>
    <w:p w14:paraId="08098308" w14:textId="77777777" w:rsidR="00D319A9" w:rsidRDefault="00D319A9" w:rsidP="005D004E">
      <w:pPr>
        <w:rPr>
          <w:sz w:val="24"/>
        </w:rPr>
      </w:pPr>
      <w:r w:rsidRPr="005D004E">
        <w:rPr>
          <w:sz w:val="24"/>
        </w:rPr>
        <w:t xml:space="preserve">Meletius was </w:t>
      </w:r>
      <w:r>
        <w:rPr>
          <w:sz w:val="24"/>
        </w:rPr>
        <w:t xml:space="preserve">subsequently </w:t>
      </w:r>
      <w:r w:rsidRPr="005D004E">
        <w:rPr>
          <w:sz w:val="24"/>
        </w:rPr>
        <w:t xml:space="preserve">arrested and imprisoned, </w:t>
      </w:r>
      <w:r>
        <w:rPr>
          <w:sz w:val="24"/>
        </w:rPr>
        <w:t>and Peter convened a synod which deposed him, but there are difficulties establishing correlating dates. Meletius likely came to Alexandria in 305, and, if we follow Athanasius,</w:t>
      </w:r>
      <w:r>
        <w:rPr>
          <w:rStyle w:val="FootnoteReference"/>
          <w:sz w:val="24"/>
        </w:rPr>
        <w:footnoteReference w:id="12"/>
      </w:r>
      <w:r>
        <w:rPr>
          <w:sz w:val="24"/>
        </w:rPr>
        <w:t xml:space="preserve"> the synod that deposed him occurred in 306.</w:t>
      </w:r>
      <w:r>
        <w:rPr>
          <w:rStyle w:val="FootnoteReference"/>
          <w:sz w:val="24"/>
        </w:rPr>
        <w:footnoteReference w:id="13"/>
      </w:r>
      <w:r>
        <w:rPr>
          <w:sz w:val="24"/>
        </w:rPr>
        <w:t xml:space="preserve"> Athanasius levels two criticisms against Meletius regarding the synod: that he did not appeal to another council (which would have been the appropriate manner of contesting the judgment); and that he did not “attempt to justify himself before those who should come after”,</w:t>
      </w:r>
      <w:r>
        <w:rPr>
          <w:rStyle w:val="FootnoteReference"/>
          <w:sz w:val="24"/>
        </w:rPr>
        <w:footnoteReference w:id="14"/>
      </w:r>
      <w:r>
        <w:rPr>
          <w:sz w:val="24"/>
        </w:rPr>
        <w:t xml:space="preserve"> which suggests that he failed to appear before the synod.</w:t>
      </w:r>
      <w:r>
        <w:rPr>
          <w:rStyle w:val="FootnoteReference"/>
          <w:sz w:val="24"/>
        </w:rPr>
        <w:footnoteReference w:id="15"/>
      </w:r>
      <w:r>
        <w:rPr>
          <w:sz w:val="24"/>
        </w:rPr>
        <w:t xml:space="preserve"> The second would have been an unfair criticism if Meletius were in chains at the time, so Meletius must not have been arrested yet, unless he had been arrested and already released by 306. Certainly, it would have been easy to get arrested in Alexandria as a defiant Christian bishop in 305, when the persecution was still at its peak, and this last possibility seems to be the only way to make sense of Athanasius’ statement</w:t>
      </w:r>
      <w:r>
        <w:rPr>
          <w:rStyle w:val="FootnoteReference"/>
          <w:sz w:val="24"/>
        </w:rPr>
        <w:footnoteReference w:id="16"/>
      </w:r>
      <w:r>
        <w:rPr>
          <w:sz w:val="24"/>
        </w:rPr>
        <w:t xml:space="preserve"> that offering sacrifice was among the crimes for which Meletius was deposed, since he wouldn’t have been tempted to offer the impious sacrifice unless he were in the hands of the torturers. Such a scenario, however, would surely have – at the least – cast serious doubts upon </w:t>
      </w:r>
      <w:r>
        <w:rPr>
          <w:sz w:val="24"/>
        </w:rPr>
        <w:lastRenderedPageBreak/>
        <w:t xml:space="preserve">Meletius’ credibility among his following of zealous resisters, and yet we know that he retained (apparently undisputed) leadership of his faction for another two decades. Furthermore, </w:t>
      </w:r>
      <w:r w:rsidRPr="005D004E">
        <w:rPr>
          <w:sz w:val="24"/>
        </w:rPr>
        <w:t>such action would seem out of character fo</w:t>
      </w:r>
      <w:r>
        <w:rPr>
          <w:sz w:val="24"/>
        </w:rPr>
        <w:t>r a man who demonstrated such dis</w:t>
      </w:r>
      <w:r w:rsidRPr="005D004E">
        <w:rPr>
          <w:sz w:val="24"/>
        </w:rPr>
        <w:t xml:space="preserve">satisfaction </w:t>
      </w:r>
      <w:r>
        <w:rPr>
          <w:sz w:val="24"/>
        </w:rPr>
        <w:t xml:space="preserve">even </w:t>
      </w:r>
      <w:r w:rsidRPr="005D004E">
        <w:rPr>
          <w:sz w:val="24"/>
        </w:rPr>
        <w:t xml:space="preserve">with passive resistance to the Empire, </w:t>
      </w:r>
      <w:r>
        <w:rPr>
          <w:sz w:val="24"/>
        </w:rPr>
        <w:t xml:space="preserve">although, admittedly, his </w:t>
      </w:r>
      <w:r w:rsidRPr="005D004E">
        <w:rPr>
          <w:sz w:val="24"/>
        </w:rPr>
        <w:t xml:space="preserve">principles would ultimately prove to be founded less upon a need to express </w:t>
      </w:r>
      <w:r>
        <w:rPr>
          <w:sz w:val="24"/>
        </w:rPr>
        <w:t>the integrity of the Church</w:t>
      </w:r>
      <w:r w:rsidRPr="005D004E">
        <w:rPr>
          <w:sz w:val="24"/>
        </w:rPr>
        <w:t xml:space="preserve"> than upon a nationalistic</w:t>
      </w:r>
      <w:r>
        <w:rPr>
          <w:sz w:val="24"/>
        </w:rPr>
        <w:t xml:space="preserve"> or at least anti-imperial</w:t>
      </w:r>
      <w:r w:rsidRPr="005D004E">
        <w:rPr>
          <w:sz w:val="24"/>
        </w:rPr>
        <w:t xml:space="preserve"> spirit of defiance</w:t>
      </w:r>
      <w:r>
        <w:rPr>
          <w:sz w:val="24"/>
        </w:rPr>
        <w:t>: “</w:t>
      </w:r>
      <w:r w:rsidRPr="005D004E">
        <w:rPr>
          <w:sz w:val="24"/>
        </w:rPr>
        <w:t>His quarrel was with the world-rulers. If it led on to a quarrel with the other Egyptian bishops, and to schism</w:t>
      </w:r>
      <w:r>
        <w:rPr>
          <w:sz w:val="24"/>
        </w:rPr>
        <w:t>, that was merely the sequel".</w:t>
      </w:r>
      <w:r>
        <w:rPr>
          <w:rStyle w:val="FootnoteReference"/>
          <w:sz w:val="24"/>
        </w:rPr>
        <w:footnoteReference w:id="17"/>
      </w:r>
      <w:r w:rsidRPr="005D004E">
        <w:rPr>
          <w:sz w:val="24"/>
        </w:rPr>
        <w:t xml:space="preserve"> </w:t>
      </w:r>
      <w:r>
        <w:rPr>
          <w:sz w:val="24"/>
        </w:rPr>
        <w:t xml:space="preserve">Nonetheless, it seems more credible that the accusation of being a </w:t>
      </w:r>
      <w:proofErr w:type="spellStart"/>
      <w:r>
        <w:rPr>
          <w:i/>
          <w:sz w:val="24"/>
        </w:rPr>
        <w:t>lapsi</w:t>
      </w:r>
      <w:proofErr w:type="spellEnd"/>
      <w:r>
        <w:rPr>
          <w:sz w:val="24"/>
        </w:rPr>
        <w:t xml:space="preserve"> is a later accretion inferred from the fact that he was not martyred as many other imprisoned</w:t>
      </w:r>
      <w:r w:rsidRPr="005D004E">
        <w:rPr>
          <w:sz w:val="24"/>
        </w:rPr>
        <w:t xml:space="preserve"> </w:t>
      </w:r>
      <w:r>
        <w:rPr>
          <w:sz w:val="24"/>
        </w:rPr>
        <w:t xml:space="preserve">bishops </w:t>
      </w:r>
      <w:proofErr w:type="gramStart"/>
      <w:r>
        <w:rPr>
          <w:sz w:val="24"/>
        </w:rPr>
        <w:t>were, but</w:t>
      </w:r>
      <w:proofErr w:type="gramEnd"/>
      <w:r>
        <w:rPr>
          <w:sz w:val="24"/>
        </w:rPr>
        <w:t xml:space="preserve"> walked out of prison when Galerius issued his rescript in 311. For the purpose of his deposition, such charges would have been superfluous, as there was no denying his usurpations of the episcopal authority of many Egyptian bishops, including the Alexandrian Pope himself.</w:t>
      </w:r>
    </w:p>
    <w:p w14:paraId="08098309" w14:textId="77777777" w:rsidR="00D319A9" w:rsidRDefault="00D319A9" w:rsidP="005D004E">
      <w:pPr>
        <w:rPr>
          <w:sz w:val="24"/>
        </w:rPr>
      </w:pPr>
      <w:r>
        <w:rPr>
          <w:sz w:val="24"/>
        </w:rPr>
        <w:t xml:space="preserve">If Meletius was arrested and imprisoned after the synod deposed him, that raises another problem </w:t>
      </w:r>
      <w:proofErr w:type="gramStart"/>
      <w:r>
        <w:rPr>
          <w:sz w:val="24"/>
        </w:rPr>
        <w:t>in regards to</w:t>
      </w:r>
      <w:proofErr w:type="gramEnd"/>
      <w:r>
        <w:rPr>
          <w:sz w:val="24"/>
        </w:rPr>
        <w:t xml:space="preserve"> the location of the synod. Hefele, among many others, asserts that the synod was held in Alexandria.</w:t>
      </w:r>
      <w:r>
        <w:rPr>
          <w:rStyle w:val="FootnoteReference"/>
          <w:sz w:val="24"/>
        </w:rPr>
        <w:footnoteReference w:id="18"/>
      </w:r>
      <w:r>
        <w:rPr>
          <w:sz w:val="24"/>
        </w:rPr>
        <w:t xml:space="preserve"> If Meletius was still free, it seems likely that he was still in Alexandria, as his acts during the preceding period point to a man acting as anti-pope of Egypt, who under the circumstances could hardly be expected to be found hiding or otherwise not present to the Evangelic See. If that is the case, it is hard to see how Meletius, with his small band of local clergy, could have resisted being brought to the synod for deposition if it were local. Furthermore, Alexandria may still have been too dangerous a place</w:t>
      </w:r>
      <w:r w:rsidRPr="00D34FD1">
        <w:rPr>
          <w:sz w:val="24"/>
        </w:rPr>
        <w:t xml:space="preserve"> </w:t>
      </w:r>
      <w:r>
        <w:rPr>
          <w:sz w:val="24"/>
        </w:rPr>
        <w:t>for Peter at that time. However, since the synod was called to depose the bishop of Lycopolis, Peter very well may have convened it in Lycopolis – a considerably safer location – where a successor would then have been elected and installed.</w:t>
      </w:r>
      <w:r>
        <w:rPr>
          <w:rStyle w:val="FootnoteReference"/>
          <w:sz w:val="24"/>
        </w:rPr>
        <w:footnoteReference w:id="19"/>
      </w:r>
      <w:r>
        <w:rPr>
          <w:sz w:val="24"/>
        </w:rPr>
        <w:t xml:space="preserve"> Regardless of the location, Meletius would neither accept nor contest the judgment of the synod, but rejected its authority by establishing a formally </w:t>
      </w:r>
      <w:r>
        <w:rPr>
          <w:sz w:val="24"/>
        </w:rPr>
        <w:lastRenderedPageBreak/>
        <w:t xml:space="preserve">schismatic body which, according to Epiphanius, called itself the </w:t>
      </w:r>
      <w:r w:rsidRPr="00B81ABB">
        <w:rPr>
          <w:i/>
          <w:sz w:val="24"/>
        </w:rPr>
        <w:t>Church of the Martyrs</w:t>
      </w:r>
      <w:r>
        <w:rPr>
          <w:sz w:val="24"/>
        </w:rPr>
        <w:t xml:space="preserve">, in contradistinction from the (Petrine) </w:t>
      </w:r>
      <w:r w:rsidRPr="00B81ABB">
        <w:rPr>
          <w:i/>
          <w:sz w:val="24"/>
        </w:rPr>
        <w:t>Catholic Church</w:t>
      </w:r>
      <w:r>
        <w:rPr>
          <w:sz w:val="24"/>
        </w:rPr>
        <w:t>.</w:t>
      </w:r>
      <w:r>
        <w:rPr>
          <w:rStyle w:val="FootnoteReference"/>
          <w:sz w:val="24"/>
        </w:rPr>
        <w:footnoteReference w:id="20"/>
      </w:r>
      <w:r>
        <w:rPr>
          <w:sz w:val="24"/>
        </w:rPr>
        <w:t xml:space="preserve"> </w:t>
      </w:r>
    </w:p>
    <w:p w14:paraId="0809830A" w14:textId="77777777" w:rsidR="00D319A9" w:rsidRPr="005D004E" w:rsidRDefault="00D319A9" w:rsidP="005D004E">
      <w:pPr>
        <w:rPr>
          <w:sz w:val="24"/>
        </w:rPr>
      </w:pPr>
      <w:r>
        <w:rPr>
          <w:sz w:val="24"/>
        </w:rPr>
        <w:t>Another historical difficulty arising out of this synod relates to the person of the heresiarch Arius. One of the judgments of the synod was the invalidity of Meletian baptisms, a judgment which caused a rift between Peter and Arius, who was his deacon: Arius faulted Peter for an incorrect judgment on this matter.</w:t>
      </w:r>
      <w:r>
        <w:rPr>
          <w:rStyle w:val="FootnoteReference"/>
          <w:sz w:val="24"/>
        </w:rPr>
        <w:footnoteReference w:id="21"/>
      </w:r>
      <w:r>
        <w:rPr>
          <w:sz w:val="24"/>
        </w:rPr>
        <w:t xml:space="preserve"> Peter subsequently excommunicated Arius, who for this reason has been said to have been a Meletian sympathizer. The difficulty ensues when considering whether this is the same Arius who, as a layman, greeted Meletius when the latter arrived in Alexandria in 305. If it is the same man, then he not only went, in a single year’s time, from being a traitor to his archbishop by embracing the usurper, to being an aide to the archbishop in a position of being able to object to synodal proceedings, but he also would have had to convince the besieged primate to ordain him to the diaconate during the interim. This seems remotely possible if the synod were held in Lycopolis, but unfathomable if it were held in Alexandria, where the populace and local clergy would have known Arius as a recent collaborator of Meletius. If it is not the same man – which seems more likely given the facts – then it seems superfluous to attribute Meletian sympathies to Arius simply on account of his dissent on the matter of Meletian baptisms – Arius’ view would soon be defined as of the orthodox faith, after all – and obstinate dissent from his bishop’s judgment would be sufficient to find him excommunicate. This would also explain why Peter’s short-lived successor </w:t>
      </w:r>
      <w:proofErr w:type="spellStart"/>
      <w:r>
        <w:rPr>
          <w:sz w:val="24"/>
        </w:rPr>
        <w:t>Achillas</w:t>
      </w:r>
      <w:proofErr w:type="spellEnd"/>
      <w:r>
        <w:rPr>
          <w:sz w:val="24"/>
        </w:rPr>
        <w:t xml:space="preserve"> (r. 311-313) </w:t>
      </w:r>
      <w:r w:rsidRPr="003A6F6B">
        <w:rPr>
          <w:sz w:val="24"/>
        </w:rPr>
        <w:t xml:space="preserve">re-admitted </w:t>
      </w:r>
      <w:r>
        <w:rPr>
          <w:sz w:val="24"/>
        </w:rPr>
        <w:t xml:space="preserve">Arius </w:t>
      </w:r>
      <w:r w:rsidRPr="003A6F6B">
        <w:rPr>
          <w:sz w:val="24"/>
        </w:rPr>
        <w:t>to communion</w:t>
      </w:r>
      <w:r>
        <w:rPr>
          <w:sz w:val="24"/>
        </w:rPr>
        <w:t xml:space="preserve"> so quickly, even raising him to the priesthood, and putting him over the </w:t>
      </w:r>
      <w:r w:rsidRPr="003A6F6B">
        <w:rPr>
          <w:sz w:val="24"/>
        </w:rPr>
        <w:t xml:space="preserve">church of </w:t>
      </w:r>
      <w:proofErr w:type="spellStart"/>
      <w:r w:rsidRPr="003A6F6B">
        <w:rPr>
          <w:sz w:val="24"/>
        </w:rPr>
        <w:t>Baucalis</w:t>
      </w:r>
      <w:proofErr w:type="spellEnd"/>
      <w:r>
        <w:rPr>
          <w:sz w:val="24"/>
        </w:rPr>
        <w:t>, in the district tradition holds to be the location of St Mark’s martyrdom, as well as that of the fresh blood of Pope Peter.</w:t>
      </w:r>
    </w:p>
    <w:p w14:paraId="0809830B" w14:textId="77777777" w:rsidR="00D319A9" w:rsidRDefault="00D319A9" w:rsidP="005D004E">
      <w:pPr>
        <w:rPr>
          <w:sz w:val="24"/>
        </w:rPr>
      </w:pPr>
      <w:r w:rsidRPr="005D004E">
        <w:rPr>
          <w:sz w:val="24"/>
        </w:rPr>
        <w:t xml:space="preserve">When Galerius' edict of toleration was published in 311, </w:t>
      </w:r>
      <w:r>
        <w:rPr>
          <w:sz w:val="24"/>
        </w:rPr>
        <w:t xml:space="preserve">we thus take it that </w:t>
      </w:r>
      <w:r w:rsidRPr="005D004E">
        <w:rPr>
          <w:sz w:val="24"/>
        </w:rPr>
        <w:t xml:space="preserve">Meletius </w:t>
      </w:r>
      <w:r>
        <w:rPr>
          <w:sz w:val="24"/>
        </w:rPr>
        <w:t>was released from confinement, returning</w:t>
      </w:r>
      <w:r w:rsidRPr="005D004E">
        <w:rPr>
          <w:sz w:val="24"/>
        </w:rPr>
        <w:t xml:space="preserve"> to Alexandria to re-establish himself over 'the Church of the Martyrs</w:t>
      </w:r>
      <w:r>
        <w:rPr>
          <w:sz w:val="24"/>
        </w:rPr>
        <w:t>.</w:t>
      </w:r>
      <w:r w:rsidRPr="005D004E">
        <w:rPr>
          <w:sz w:val="24"/>
        </w:rPr>
        <w:t>'</w:t>
      </w:r>
      <w:r>
        <w:rPr>
          <w:sz w:val="24"/>
        </w:rPr>
        <w:t xml:space="preserve"> Judging from the legitimacy with which he obviously held his ordinations not only </w:t>
      </w:r>
      <w:r>
        <w:rPr>
          <w:sz w:val="24"/>
        </w:rPr>
        <w:lastRenderedPageBreak/>
        <w:t xml:space="preserve">of presbyters, but even of bishops throughout Upper and Lower Egypt, he </w:t>
      </w:r>
      <w:r w:rsidRPr="005D004E">
        <w:rPr>
          <w:sz w:val="24"/>
        </w:rPr>
        <w:t xml:space="preserve">was </w:t>
      </w:r>
      <w:r>
        <w:rPr>
          <w:sz w:val="24"/>
        </w:rPr>
        <w:t>likely</w:t>
      </w:r>
      <w:r w:rsidRPr="005D004E">
        <w:rPr>
          <w:sz w:val="24"/>
        </w:rPr>
        <w:t xml:space="preserve"> invested as anti-pope</w:t>
      </w:r>
      <w:r>
        <w:rPr>
          <w:sz w:val="24"/>
        </w:rPr>
        <w:t xml:space="preserve"> at this time </w:t>
      </w:r>
      <w:r w:rsidRPr="005D004E">
        <w:rPr>
          <w:sz w:val="24"/>
        </w:rPr>
        <w:t>by those Alexandrian presbyters who supported him</w:t>
      </w:r>
      <w:r>
        <w:rPr>
          <w:rStyle w:val="FootnoteReference"/>
          <w:sz w:val="24"/>
        </w:rPr>
        <w:footnoteReference w:id="22"/>
      </w:r>
      <w:r w:rsidRPr="005D004E">
        <w:rPr>
          <w:sz w:val="24"/>
        </w:rPr>
        <w:t xml:space="preserve"> </w:t>
      </w:r>
      <w:r>
        <w:rPr>
          <w:sz w:val="24"/>
        </w:rPr>
        <w:t>(if he had not already done so before being arrested), interpreting</w:t>
      </w:r>
      <w:r w:rsidRPr="005D004E">
        <w:rPr>
          <w:sz w:val="24"/>
        </w:rPr>
        <w:t xml:space="preserve"> Peter</w:t>
      </w:r>
      <w:r>
        <w:rPr>
          <w:sz w:val="24"/>
        </w:rPr>
        <w:t xml:space="preserve">’s extended absence </w:t>
      </w:r>
      <w:r w:rsidRPr="005D004E">
        <w:rPr>
          <w:sz w:val="24"/>
        </w:rPr>
        <w:t>as abandon</w:t>
      </w:r>
      <w:r>
        <w:rPr>
          <w:sz w:val="24"/>
        </w:rPr>
        <w:t>ment</w:t>
      </w:r>
      <w:r w:rsidRPr="005D004E">
        <w:rPr>
          <w:sz w:val="24"/>
        </w:rPr>
        <w:t xml:space="preserve"> </w:t>
      </w:r>
      <w:r>
        <w:rPr>
          <w:sz w:val="24"/>
        </w:rPr>
        <w:t xml:space="preserve">and thus forfeiture of </w:t>
      </w:r>
      <w:r w:rsidRPr="005D004E">
        <w:rPr>
          <w:sz w:val="24"/>
        </w:rPr>
        <w:t xml:space="preserve">his </w:t>
      </w:r>
      <w:r>
        <w:rPr>
          <w:sz w:val="24"/>
        </w:rPr>
        <w:t>S</w:t>
      </w:r>
      <w:r w:rsidRPr="005D004E">
        <w:rPr>
          <w:sz w:val="24"/>
        </w:rPr>
        <w:t xml:space="preserve">ee. Peter claimed his see, however, </w:t>
      </w:r>
      <w:r>
        <w:rPr>
          <w:sz w:val="24"/>
        </w:rPr>
        <w:t xml:space="preserve">upon his own return from hiding. A synaxis in honor of the martyrs became an occasion for </w:t>
      </w:r>
      <w:r w:rsidRPr="005D004E">
        <w:rPr>
          <w:sz w:val="24"/>
        </w:rPr>
        <w:t>violence between the factions,</w:t>
      </w:r>
      <w:r>
        <w:rPr>
          <w:rStyle w:val="FootnoteReference"/>
          <w:sz w:val="24"/>
        </w:rPr>
        <w:footnoteReference w:id="23"/>
      </w:r>
      <w:r w:rsidRPr="005D004E">
        <w:rPr>
          <w:sz w:val="24"/>
        </w:rPr>
        <w:t xml:space="preserve"> leading to the arrest of Peter</w:t>
      </w:r>
      <w:r>
        <w:rPr>
          <w:sz w:val="24"/>
        </w:rPr>
        <w:t xml:space="preserve"> at the command of Maximin, who was not eager to embrace his father’s death-bed toleration edict</w:t>
      </w:r>
      <w:r w:rsidRPr="005D004E">
        <w:rPr>
          <w:sz w:val="24"/>
        </w:rPr>
        <w:t>.</w:t>
      </w:r>
      <w:r>
        <w:rPr>
          <w:rStyle w:val="FootnoteReference"/>
          <w:sz w:val="24"/>
        </w:rPr>
        <w:footnoteReference w:id="24"/>
      </w:r>
      <w:r w:rsidRPr="005D004E">
        <w:rPr>
          <w:sz w:val="24"/>
        </w:rPr>
        <w:t xml:space="preserve"> </w:t>
      </w:r>
      <w:r>
        <w:rPr>
          <w:sz w:val="24"/>
        </w:rPr>
        <w:t xml:space="preserve">The hagiographical </w:t>
      </w:r>
      <w:r>
        <w:rPr>
          <w:i/>
          <w:sz w:val="24"/>
        </w:rPr>
        <w:t>Genuine Acts of Peter</w:t>
      </w:r>
      <w:r>
        <w:rPr>
          <w:sz w:val="24"/>
        </w:rPr>
        <w:t xml:space="preserve"> asserts that u</w:t>
      </w:r>
      <w:r w:rsidRPr="005D004E">
        <w:rPr>
          <w:sz w:val="24"/>
        </w:rPr>
        <w:t xml:space="preserve">nruly reaction to this </w:t>
      </w:r>
      <w:r>
        <w:rPr>
          <w:sz w:val="24"/>
        </w:rPr>
        <w:t xml:space="preserve">arrest on the part of </w:t>
      </w:r>
      <w:r w:rsidRPr="005D004E">
        <w:rPr>
          <w:sz w:val="24"/>
        </w:rPr>
        <w:t xml:space="preserve">Peter’s followers brought about </w:t>
      </w:r>
      <w:r>
        <w:rPr>
          <w:sz w:val="24"/>
        </w:rPr>
        <w:t>– or at least hastened – the order for Peter's execution</w:t>
      </w:r>
      <w:r w:rsidRPr="005D004E">
        <w:rPr>
          <w:sz w:val="24"/>
        </w:rPr>
        <w:t xml:space="preserve">. </w:t>
      </w:r>
      <w:r>
        <w:rPr>
          <w:sz w:val="24"/>
        </w:rPr>
        <w:t xml:space="preserve"> </w:t>
      </w:r>
    </w:p>
    <w:p w14:paraId="0809830C" w14:textId="77777777" w:rsidR="00D319A9" w:rsidRDefault="00D319A9" w:rsidP="005D004E">
      <w:pPr>
        <w:rPr>
          <w:sz w:val="24"/>
        </w:rPr>
      </w:pPr>
      <w:r>
        <w:rPr>
          <w:sz w:val="24"/>
        </w:rPr>
        <w:t xml:space="preserve">The beheading of Peter apparently did little to stem the discord between the two factions, as Athanasius complains of Meletius that he reviled and made false accusations against both successors of Peter: </w:t>
      </w:r>
      <w:proofErr w:type="spellStart"/>
      <w:r>
        <w:rPr>
          <w:sz w:val="24"/>
        </w:rPr>
        <w:t>Achillas</w:t>
      </w:r>
      <w:proofErr w:type="spellEnd"/>
      <w:r>
        <w:rPr>
          <w:sz w:val="24"/>
        </w:rPr>
        <w:t xml:space="preserve"> and Alexander (r. 313-328).</w:t>
      </w:r>
      <w:r>
        <w:rPr>
          <w:rStyle w:val="FootnoteReference"/>
          <w:sz w:val="24"/>
        </w:rPr>
        <w:footnoteReference w:id="25"/>
      </w:r>
      <w:r>
        <w:rPr>
          <w:sz w:val="24"/>
        </w:rPr>
        <w:t xml:space="preserve"> Furthermore, the schism was of such import that the status of the Meletians was taken up for deliberation by the Council of Nicaea more than a decade later, in 325. The principal purpose of the council, of course, was to settle the matter of the aforementioned Arius, whose subordinationist Christological ideas were disturbing the Church in the East. Alexander had repudiated Arius’ teaching in synods held at Alexandria between 318 and 321, and the Meletians likewise rejected Arianism as heretical,</w:t>
      </w:r>
      <w:r>
        <w:rPr>
          <w:rStyle w:val="FootnoteReference"/>
          <w:sz w:val="24"/>
        </w:rPr>
        <w:footnoteReference w:id="26"/>
      </w:r>
      <w:r>
        <w:rPr>
          <w:sz w:val="24"/>
        </w:rPr>
        <w:t xml:space="preserve"> leading Arius to flee east where he could find support, particularly in the person of the </w:t>
      </w:r>
      <w:proofErr w:type="gramStart"/>
      <w:r>
        <w:rPr>
          <w:sz w:val="24"/>
        </w:rPr>
        <w:t>imperially-connected</w:t>
      </w:r>
      <w:proofErr w:type="gramEnd"/>
      <w:r>
        <w:rPr>
          <w:sz w:val="24"/>
        </w:rPr>
        <w:t xml:space="preserve"> Bishop Eusebius of Nicomedia. </w:t>
      </w:r>
    </w:p>
    <w:p w14:paraId="0809830D" w14:textId="77777777" w:rsidR="00D319A9" w:rsidRPr="005D004E" w:rsidRDefault="00D319A9" w:rsidP="00BA0EE4">
      <w:pPr>
        <w:rPr>
          <w:sz w:val="24"/>
        </w:rPr>
      </w:pPr>
      <w:r>
        <w:rPr>
          <w:sz w:val="24"/>
        </w:rPr>
        <w:t>Concerning the Meletians, the council determined, in clemency, to reconcile them – much to the eventual chagrin of Athanasius.</w:t>
      </w:r>
      <w:r>
        <w:rPr>
          <w:rStyle w:val="FootnoteReference"/>
          <w:sz w:val="24"/>
        </w:rPr>
        <w:footnoteReference w:id="27"/>
      </w:r>
      <w:r>
        <w:rPr>
          <w:sz w:val="24"/>
        </w:rPr>
        <w:t xml:space="preserve"> Meletius himself, however, "should remain in his city"</w:t>
      </w:r>
      <w:r>
        <w:rPr>
          <w:rStyle w:val="FootnoteReference"/>
          <w:sz w:val="24"/>
        </w:rPr>
        <w:footnoteReference w:id="28"/>
      </w:r>
      <w:r>
        <w:rPr>
          <w:sz w:val="24"/>
        </w:rPr>
        <w:t xml:space="preserve"> – Lycopolis, that is, not Alexandria – and </w:t>
      </w:r>
      <w:r w:rsidRPr="005D004E">
        <w:rPr>
          <w:sz w:val="24"/>
        </w:rPr>
        <w:t>without episcopal authority [</w:t>
      </w:r>
      <w:proofErr w:type="gramStart"/>
      <w:r w:rsidRPr="005D004E">
        <w:rPr>
          <w:sz w:val="24"/>
        </w:rPr>
        <w:t>e.g.</w:t>
      </w:r>
      <w:proofErr w:type="gramEnd"/>
      <w:r w:rsidRPr="005D004E">
        <w:rPr>
          <w:sz w:val="24"/>
        </w:rPr>
        <w:t xml:space="preserve"> to ordain], </w:t>
      </w:r>
      <w:r>
        <w:rPr>
          <w:sz w:val="24"/>
        </w:rPr>
        <w:t>al</w:t>
      </w:r>
      <w:r w:rsidRPr="005D004E">
        <w:rPr>
          <w:sz w:val="24"/>
        </w:rPr>
        <w:t xml:space="preserve">though </w:t>
      </w:r>
      <w:r w:rsidRPr="005D004E">
        <w:rPr>
          <w:sz w:val="24"/>
        </w:rPr>
        <w:lastRenderedPageBreak/>
        <w:t>he</w:t>
      </w:r>
      <w:r>
        <w:rPr>
          <w:sz w:val="24"/>
        </w:rPr>
        <w:t xml:space="preserve"> would be allowed to</w:t>
      </w:r>
      <w:r w:rsidRPr="005D004E">
        <w:rPr>
          <w:sz w:val="24"/>
        </w:rPr>
        <w:t xml:space="preserve"> keep </w:t>
      </w:r>
      <w:r>
        <w:rPr>
          <w:sz w:val="24"/>
        </w:rPr>
        <w:t xml:space="preserve">the honor of </w:t>
      </w:r>
      <w:r w:rsidRPr="005D004E">
        <w:rPr>
          <w:sz w:val="24"/>
        </w:rPr>
        <w:t>his title.</w:t>
      </w:r>
      <w:r w:rsidRPr="00BA0EE4">
        <w:rPr>
          <w:sz w:val="24"/>
        </w:rPr>
        <w:t xml:space="preserve"> </w:t>
      </w:r>
      <w:r w:rsidRPr="005D004E">
        <w:rPr>
          <w:sz w:val="24"/>
        </w:rPr>
        <w:t xml:space="preserve">The Meletian clergy were to be admitted to communion </w:t>
      </w:r>
      <w:r>
        <w:rPr>
          <w:sz w:val="24"/>
        </w:rPr>
        <w:t>“</w:t>
      </w:r>
      <w:r w:rsidRPr="005D004E">
        <w:rPr>
          <w:sz w:val="24"/>
        </w:rPr>
        <w:t xml:space="preserve">after </w:t>
      </w:r>
      <w:r>
        <w:rPr>
          <w:sz w:val="24"/>
        </w:rPr>
        <w:t xml:space="preserve">having been confirmed by </w:t>
      </w:r>
      <w:r w:rsidRPr="005D004E">
        <w:rPr>
          <w:sz w:val="24"/>
        </w:rPr>
        <w:t xml:space="preserve">a </w:t>
      </w:r>
      <w:r>
        <w:rPr>
          <w:sz w:val="24"/>
        </w:rPr>
        <w:t xml:space="preserve">more </w:t>
      </w:r>
      <w:r w:rsidRPr="005D004E">
        <w:rPr>
          <w:sz w:val="24"/>
        </w:rPr>
        <w:t>legitimate ordination</w:t>
      </w:r>
      <w:r>
        <w:rPr>
          <w:sz w:val="24"/>
        </w:rPr>
        <w:t>”</w:t>
      </w:r>
      <w:r w:rsidRPr="005D004E">
        <w:rPr>
          <w:sz w:val="24"/>
        </w:rPr>
        <w:t>,</w:t>
      </w:r>
      <w:r>
        <w:rPr>
          <w:rStyle w:val="FootnoteReference"/>
          <w:sz w:val="24"/>
        </w:rPr>
        <w:footnoteReference w:id="29"/>
      </w:r>
      <w:r w:rsidRPr="005D004E">
        <w:rPr>
          <w:sz w:val="24"/>
        </w:rPr>
        <w:t xml:space="preserve"> but were to be subordinate to those ordained by Alexander, though they might be allowed to succeed a Catholic in higher office if they </w:t>
      </w:r>
      <w:r>
        <w:rPr>
          <w:sz w:val="24"/>
        </w:rPr>
        <w:t>were:</w:t>
      </w:r>
      <w:r w:rsidRPr="005D004E">
        <w:rPr>
          <w:sz w:val="24"/>
        </w:rPr>
        <w:t xml:space="preserve"> found fit</w:t>
      </w:r>
      <w:r>
        <w:rPr>
          <w:sz w:val="24"/>
        </w:rPr>
        <w:t xml:space="preserve"> for such an office</w:t>
      </w:r>
      <w:r w:rsidRPr="005D004E">
        <w:rPr>
          <w:sz w:val="24"/>
        </w:rPr>
        <w:t>, elected by the people, and ratifie</w:t>
      </w:r>
      <w:r>
        <w:rPr>
          <w:sz w:val="24"/>
        </w:rPr>
        <w:t>d by the bishop of Alexandria.</w:t>
      </w:r>
      <w:r>
        <w:rPr>
          <w:rStyle w:val="FootnoteReference"/>
          <w:sz w:val="24"/>
        </w:rPr>
        <w:footnoteReference w:id="30"/>
      </w:r>
      <w:r w:rsidRPr="005D004E">
        <w:rPr>
          <w:sz w:val="24"/>
        </w:rPr>
        <w:t xml:space="preserve"> </w:t>
      </w:r>
    </w:p>
    <w:p w14:paraId="0809830E" w14:textId="77777777" w:rsidR="00D319A9" w:rsidRDefault="00D319A9" w:rsidP="005D004E">
      <w:pPr>
        <w:rPr>
          <w:sz w:val="24"/>
        </w:rPr>
      </w:pPr>
      <w:r>
        <w:rPr>
          <w:sz w:val="24"/>
        </w:rPr>
        <w:t xml:space="preserve">In order to prevent Meletius from tendering a limitless string of episcopal appointments to the reconciliation process, </w:t>
      </w:r>
      <w:r w:rsidRPr="005D004E">
        <w:rPr>
          <w:sz w:val="24"/>
        </w:rPr>
        <w:t xml:space="preserve">Alexander </w:t>
      </w:r>
      <w:r>
        <w:rPr>
          <w:sz w:val="24"/>
        </w:rPr>
        <w:t xml:space="preserve">demanded and </w:t>
      </w:r>
      <w:r w:rsidRPr="005D004E">
        <w:rPr>
          <w:sz w:val="24"/>
        </w:rPr>
        <w:t xml:space="preserve">obtained from Meletius a </w:t>
      </w:r>
      <w:r>
        <w:rPr>
          <w:sz w:val="24"/>
        </w:rPr>
        <w:t xml:space="preserve">schedule of the bishops and Alexandrian clergy </w:t>
      </w:r>
      <w:r w:rsidRPr="005D004E">
        <w:rPr>
          <w:sz w:val="24"/>
        </w:rPr>
        <w:t>ordained by Meletius,</w:t>
      </w:r>
      <w:r>
        <w:rPr>
          <w:sz w:val="24"/>
        </w:rPr>
        <w:t xml:space="preserve"> which bishops numbered twenty-eight: fifteen from Upper Egypt; thirteen from Lower Egypt. Named last among the bishop was John of Memphis, “who was ordered by the </w:t>
      </w:r>
      <w:proofErr w:type="gramStart"/>
      <w:r>
        <w:rPr>
          <w:sz w:val="24"/>
        </w:rPr>
        <w:t>Emperor</w:t>
      </w:r>
      <w:proofErr w:type="gramEnd"/>
      <w:r>
        <w:rPr>
          <w:sz w:val="24"/>
        </w:rPr>
        <w:t xml:space="preserve"> to be with the Archbishop”,</w:t>
      </w:r>
      <w:r>
        <w:rPr>
          <w:rStyle w:val="FootnoteReference"/>
          <w:sz w:val="24"/>
        </w:rPr>
        <w:footnoteReference w:id="31"/>
      </w:r>
      <w:r>
        <w:rPr>
          <w:sz w:val="24"/>
        </w:rPr>
        <w:t xml:space="preserve"> being the hand-picked successor to Meletius,</w:t>
      </w:r>
      <w:r>
        <w:rPr>
          <w:rStyle w:val="FootnoteReference"/>
          <w:sz w:val="24"/>
        </w:rPr>
        <w:footnoteReference w:id="32"/>
      </w:r>
      <w:r>
        <w:rPr>
          <w:sz w:val="24"/>
        </w:rPr>
        <w:t xml:space="preserve"> also known as John </w:t>
      </w:r>
      <w:proofErr w:type="spellStart"/>
      <w:r>
        <w:rPr>
          <w:sz w:val="24"/>
        </w:rPr>
        <w:t>Archaph</w:t>
      </w:r>
      <w:proofErr w:type="spellEnd"/>
      <w:r>
        <w:rPr>
          <w:sz w:val="24"/>
        </w:rPr>
        <w:t>, whom the Emperor apparently intended to seat in Alexandria as a subordinate to Alexander, with the same privileges of potential to succeed to the See as the other reconciled Meletian bishops in other sees. The actual effecting of the legitimation of the Meletians’ ordinations appears to have taken several years, for Athanasius reports</w:t>
      </w:r>
      <w:r>
        <w:rPr>
          <w:rStyle w:val="FootnoteReference"/>
          <w:sz w:val="24"/>
        </w:rPr>
        <w:footnoteReference w:id="33"/>
      </w:r>
      <w:r>
        <w:rPr>
          <w:sz w:val="24"/>
        </w:rPr>
        <w:t xml:space="preserve"> that it took only five months for the Meletians, “like dogs unable to forget their vomit”, to again begin “troubling the Church”, troubling</w:t>
      </w:r>
      <w:r w:rsidRPr="00AA33B1">
        <w:rPr>
          <w:sz w:val="24"/>
        </w:rPr>
        <w:t xml:space="preserve"> </w:t>
      </w:r>
      <w:r>
        <w:rPr>
          <w:sz w:val="24"/>
        </w:rPr>
        <w:t xml:space="preserve">which took place after the death of Alexander, who died </w:t>
      </w:r>
      <w:r w:rsidRPr="003A6F6B">
        <w:rPr>
          <w:sz w:val="24"/>
        </w:rPr>
        <w:t>17 April 328</w:t>
      </w:r>
      <w:r>
        <w:rPr>
          <w:sz w:val="24"/>
        </w:rPr>
        <w:t>. This “troubling” is undoubtedly related to the elevation to the Alexandrian See of Athanasius himself.</w:t>
      </w:r>
      <w:r w:rsidRPr="003A6F6B">
        <w:rPr>
          <w:sz w:val="24"/>
        </w:rPr>
        <w:t xml:space="preserve"> </w:t>
      </w:r>
    </w:p>
    <w:p w14:paraId="0809830F" w14:textId="77777777" w:rsidR="00D319A9" w:rsidRDefault="00D319A9" w:rsidP="005D004E">
      <w:pPr>
        <w:rPr>
          <w:sz w:val="24"/>
        </w:rPr>
      </w:pPr>
      <w:r>
        <w:rPr>
          <w:sz w:val="24"/>
        </w:rPr>
        <w:t>Traditionally, the Alexandrian Pope had been e</w:t>
      </w:r>
      <w:r w:rsidRPr="003A6F6B">
        <w:rPr>
          <w:sz w:val="24"/>
        </w:rPr>
        <w:t>lect</w:t>
      </w:r>
      <w:r>
        <w:rPr>
          <w:sz w:val="24"/>
        </w:rPr>
        <w:t>ed by</w:t>
      </w:r>
      <w:r w:rsidRPr="003A6F6B">
        <w:rPr>
          <w:sz w:val="24"/>
        </w:rPr>
        <w:t xml:space="preserve"> local pr</w:t>
      </w:r>
      <w:r>
        <w:rPr>
          <w:sz w:val="24"/>
        </w:rPr>
        <w:t>esbyters from among their own number, and subsequently consecrated by the bishops of Egypt,</w:t>
      </w:r>
      <w:r>
        <w:rPr>
          <w:rStyle w:val="FootnoteReference"/>
          <w:sz w:val="24"/>
        </w:rPr>
        <w:footnoteReference w:id="34"/>
      </w:r>
      <w:r>
        <w:rPr>
          <w:sz w:val="24"/>
        </w:rPr>
        <w:t xml:space="preserve"> but the Fourth Canon of Nicaea now called for </w:t>
      </w:r>
      <w:r w:rsidRPr="003A6F6B">
        <w:rPr>
          <w:sz w:val="24"/>
        </w:rPr>
        <w:t>election by bishops</w:t>
      </w:r>
      <w:r>
        <w:rPr>
          <w:sz w:val="24"/>
        </w:rPr>
        <w:t>: preferably “all the bishops of the province”. T</w:t>
      </w:r>
      <w:r w:rsidRPr="003A6F6B">
        <w:rPr>
          <w:sz w:val="24"/>
        </w:rPr>
        <w:t xml:space="preserve">he Athanasian election was </w:t>
      </w:r>
      <w:r>
        <w:rPr>
          <w:sz w:val="24"/>
        </w:rPr>
        <w:t xml:space="preserve">obviously </w:t>
      </w:r>
      <w:r w:rsidRPr="003A6F6B">
        <w:rPr>
          <w:sz w:val="24"/>
        </w:rPr>
        <w:t xml:space="preserve">the first </w:t>
      </w:r>
      <w:r>
        <w:rPr>
          <w:sz w:val="24"/>
        </w:rPr>
        <w:t xml:space="preserve">in Alexandria </w:t>
      </w:r>
      <w:r w:rsidRPr="003A6F6B">
        <w:rPr>
          <w:sz w:val="24"/>
        </w:rPr>
        <w:t xml:space="preserve">that would have included both Petrine and Meletian bishops. </w:t>
      </w:r>
      <w:r>
        <w:rPr>
          <w:sz w:val="24"/>
        </w:rPr>
        <w:t xml:space="preserve">Given the terms of the reconciliation, the Meletians would have had </w:t>
      </w:r>
      <w:r>
        <w:rPr>
          <w:sz w:val="24"/>
        </w:rPr>
        <w:lastRenderedPageBreak/>
        <w:t>reasonable expectations that John “</w:t>
      </w:r>
      <w:proofErr w:type="spellStart"/>
      <w:r>
        <w:rPr>
          <w:sz w:val="24"/>
        </w:rPr>
        <w:t>Archaph</w:t>
      </w:r>
      <w:proofErr w:type="spellEnd"/>
      <w:r>
        <w:rPr>
          <w:sz w:val="24"/>
        </w:rPr>
        <w:t xml:space="preserve">” would be raised to the patriarchate, but under the circumstances, a consensus around any candidate for the second-most dignified office in the Church – especially one who was a recently reconciled schismatic – was unlikely. </w:t>
      </w:r>
      <w:r w:rsidRPr="003A6F6B">
        <w:rPr>
          <w:sz w:val="24"/>
        </w:rPr>
        <w:t xml:space="preserve">A small group of bishops consecrated Athanasius on 8 June 328, </w:t>
      </w:r>
      <w:r>
        <w:rPr>
          <w:sz w:val="24"/>
        </w:rPr>
        <w:t xml:space="preserve">disregarding </w:t>
      </w:r>
      <w:r w:rsidRPr="003A6F6B">
        <w:rPr>
          <w:sz w:val="24"/>
        </w:rPr>
        <w:t>consensus. M</w:t>
      </w:r>
      <w:r>
        <w:rPr>
          <w:sz w:val="24"/>
        </w:rPr>
        <w:t>ost</w:t>
      </w:r>
      <w:r w:rsidRPr="003A6F6B">
        <w:rPr>
          <w:sz w:val="24"/>
        </w:rPr>
        <w:t xml:space="preserve"> bishops accepted this, but </w:t>
      </w:r>
      <w:r>
        <w:rPr>
          <w:sz w:val="24"/>
        </w:rPr>
        <w:t>the reconciled Meletians</w:t>
      </w:r>
      <w:r w:rsidRPr="003A6F6B">
        <w:rPr>
          <w:sz w:val="24"/>
        </w:rPr>
        <w:t xml:space="preserve"> protested, instead electing a</w:t>
      </w:r>
      <w:r>
        <w:rPr>
          <w:sz w:val="24"/>
        </w:rPr>
        <w:t xml:space="preserve"> competing Meletian </w:t>
      </w:r>
      <w:r w:rsidRPr="003A6F6B">
        <w:rPr>
          <w:sz w:val="24"/>
        </w:rPr>
        <w:t>bishop</w:t>
      </w:r>
      <w:r>
        <w:rPr>
          <w:sz w:val="24"/>
        </w:rPr>
        <w:t>,</w:t>
      </w:r>
      <w:r>
        <w:rPr>
          <w:rStyle w:val="FootnoteReference"/>
          <w:sz w:val="24"/>
        </w:rPr>
        <w:footnoteReference w:id="35"/>
      </w:r>
      <w:r>
        <w:rPr>
          <w:sz w:val="24"/>
        </w:rPr>
        <w:t xml:space="preserve"> presumably John, since he succeeded Meletius as the head of the faction upon the latter’s death.</w:t>
      </w:r>
      <w:r>
        <w:rPr>
          <w:rStyle w:val="FootnoteReference"/>
          <w:sz w:val="24"/>
        </w:rPr>
        <w:footnoteReference w:id="36"/>
      </w:r>
      <w:r>
        <w:rPr>
          <w:sz w:val="24"/>
        </w:rPr>
        <w:t xml:space="preserve"> However, John appears later in the later historical record in relation to the Eusebian city of Antioch, not Alexandria.</w:t>
      </w:r>
      <w:r>
        <w:rPr>
          <w:rStyle w:val="FootnoteReference"/>
          <w:sz w:val="24"/>
        </w:rPr>
        <w:footnoteReference w:id="37"/>
      </w:r>
      <w:r>
        <w:rPr>
          <w:sz w:val="24"/>
        </w:rPr>
        <w:t xml:space="preserve"> Furthermore, the letter of Callistus from the British Museum papyri published by H. I. Bell</w:t>
      </w:r>
      <w:r>
        <w:rPr>
          <w:rStyle w:val="FootnoteReference"/>
          <w:sz w:val="24"/>
        </w:rPr>
        <w:footnoteReference w:id="38"/>
      </w:r>
      <w:r>
        <w:rPr>
          <w:sz w:val="24"/>
        </w:rPr>
        <w:t xml:space="preserve"> identifies a Meletian Bishop </w:t>
      </w:r>
      <w:proofErr w:type="spellStart"/>
      <w:r>
        <w:rPr>
          <w:sz w:val="24"/>
        </w:rPr>
        <w:t>Heraiscus</w:t>
      </w:r>
      <w:proofErr w:type="spellEnd"/>
      <w:r>
        <w:rPr>
          <w:sz w:val="24"/>
        </w:rPr>
        <w:t xml:space="preserve"> in Alexandria, probably in 335, while John is in Antioch.</w:t>
      </w:r>
      <w:r>
        <w:rPr>
          <w:rStyle w:val="FootnoteReference"/>
          <w:sz w:val="24"/>
        </w:rPr>
        <w:footnoteReference w:id="39"/>
      </w:r>
      <w:r>
        <w:rPr>
          <w:sz w:val="24"/>
        </w:rPr>
        <w:t xml:space="preserve"> The letter also demonstrates that Pope Athanasius, or at least his supporters, were not indisposed to inflict retribution upon the Meletians for their troubling of the Church, and in John we may have the historical irony of a Meletian Patriarch of the Egyptian </w:t>
      </w:r>
      <w:r w:rsidRPr="00185085">
        <w:rPr>
          <w:i/>
          <w:sz w:val="24"/>
        </w:rPr>
        <w:t>Church of the Martyrs</w:t>
      </w:r>
      <w:r>
        <w:rPr>
          <w:sz w:val="24"/>
        </w:rPr>
        <w:t xml:space="preserve"> having fled to safe harbor for personal protection, leaving a suffragan behind to attend to matters in the Evangelic See.</w:t>
      </w:r>
    </w:p>
    <w:p w14:paraId="08098310" w14:textId="77777777" w:rsidR="00D319A9" w:rsidRPr="00633AB1" w:rsidRDefault="00D319A9" w:rsidP="00306F1B">
      <w:pPr>
        <w:rPr>
          <w:sz w:val="24"/>
        </w:rPr>
      </w:pPr>
      <w:r>
        <w:rPr>
          <w:sz w:val="24"/>
        </w:rPr>
        <w:t>Upon hearing of the renewed Meletian schism in Alexandria, Eusebius of Nicomedia sought to unite his “Arian” faction with theirs, and thus t</w:t>
      </w:r>
      <w:r w:rsidRPr="003A6F6B">
        <w:rPr>
          <w:sz w:val="24"/>
        </w:rPr>
        <w:t xml:space="preserve">he Egyptian Meletians and the </w:t>
      </w:r>
      <w:r>
        <w:rPr>
          <w:sz w:val="24"/>
        </w:rPr>
        <w:t>Eusebians</w:t>
      </w:r>
      <w:r w:rsidRPr="003A6F6B">
        <w:rPr>
          <w:sz w:val="24"/>
        </w:rPr>
        <w:t xml:space="preserve"> to the east soon began to conspire together against Athanasius: the Meletians being useful to the Arians for the </w:t>
      </w:r>
      <w:r>
        <w:rPr>
          <w:sz w:val="24"/>
        </w:rPr>
        <w:t>local accusations</w:t>
      </w:r>
      <w:r w:rsidRPr="003A6F6B">
        <w:rPr>
          <w:sz w:val="24"/>
        </w:rPr>
        <w:t xml:space="preserve"> they could </w:t>
      </w:r>
      <w:r>
        <w:rPr>
          <w:sz w:val="24"/>
        </w:rPr>
        <w:t>make against</w:t>
      </w:r>
      <w:r w:rsidRPr="003A6F6B">
        <w:rPr>
          <w:sz w:val="24"/>
        </w:rPr>
        <w:t xml:space="preserve"> Athanasius, and the Meletians being willing to set aside their earlier rejection of Arian Christology in order to make cause against their</w:t>
      </w:r>
      <w:r w:rsidRPr="00D015DB">
        <w:rPr>
          <w:sz w:val="24"/>
        </w:rPr>
        <w:t xml:space="preserve"> </w:t>
      </w:r>
      <w:r w:rsidRPr="003A6F6B">
        <w:rPr>
          <w:sz w:val="24"/>
        </w:rPr>
        <w:t>common enemy</w:t>
      </w:r>
      <w:r>
        <w:rPr>
          <w:sz w:val="24"/>
        </w:rPr>
        <w:t xml:space="preserve"> with the powerful Eusebians</w:t>
      </w:r>
      <w:r w:rsidRPr="003A6F6B">
        <w:rPr>
          <w:sz w:val="24"/>
        </w:rPr>
        <w:t>, eventually becoming almost indistinguishable in both character and doctrinal content from their former opponents.</w:t>
      </w:r>
      <w:r>
        <w:rPr>
          <w:rStyle w:val="FootnoteReference"/>
          <w:sz w:val="24"/>
        </w:rPr>
        <w:footnoteReference w:id="40"/>
      </w:r>
      <w:r w:rsidRPr="003A6F6B">
        <w:rPr>
          <w:sz w:val="24"/>
        </w:rPr>
        <w:t xml:space="preserve"> </w:t>
      </w:r>
      <w:r>
        <w:rPr>
          <w:sz w:val="24"/>
        </w:rPr>
        <w:t xml:space="preserve">Athanasius would bitterly charge the Meletians with unprincipled treachery, griping that even </w:t>
      </w:r>
      <w:r>
        <w:rPr>
          <w:sz w:val="24"/>
        </w:rPr>
        <w:lastRenderedPageBreak/>
        <w:t xml:space="preserve">after the Nicaean Council had graciously restored them, they had permitted </w:t>
      </w:r>
      <w:r w:rsidRPr="00633AB1">
        <w:rPr>
          <w:sz w:val="24"/>
        </w:rPr>
        <w:t xml:space="preserve">Eusebius </w:t>
      </w:r>
      <w:r>
        <w:rPr>
          <w:sz w:val="24"/>
        </w:rPr>
        <w:t>to buy them "with large promises".</w:t>
      </w:r>
      <w:r>
        <w:rPr>
          <w:rStyle w:val="FootnoteReference"/>
          <w:sz w:val="24"/>
        </w:rPr>
        <w:footnoteReference w:id="41"/>
      </w:r>
    </w:p>
    <w:p w14:paraId="08098311" w14:textId="77777777" w:rsidR="00D319A9" w:rsidRDefault="00D319A9">
      <w:pPr>
        <w:rPr>
          <w:sz w:val="24"/>
        </w:rPr>
      </w:pPr>
      <w:r>
        <w:rPr>
          <w:sz w:val="24"/>
        </w:rPr>
        <w:t xml:space="preserve">In 332, Eusebius convinced Emperor Constantine to compel Athanasius to re-admit Arius to the Church in Alexandria, and when Athanasius resisted, Eusebius obtained false charges from several Meletians concerning the bishop’s alleged coercion of the public for personal gain, but Athanasius’ presbyters Macarius and </w:t>
      </w:r>
      <w:proofErr w:type="spellStart"/>
      <w:r>
        <w:rPr>
          <w:sz w:val="24"/>
        </w:rPr>
        <w:t>Apis</w:t>
      </w:r>
      <w:proofErr w:type="spellEnd"/>
      <w:r>
        <w:rPr>
          <w:sz w:val="24"/>
        </w:rPr>
        <w:t xml:space="preserve"> refuted the accusation, leading the </w:t>
      </w:r>
      <w:proofErr w:type="gramStart"/>
      <w:r>
        <w:rPr>
          <w:sz w:val="24"/>
        </w:rPr>
        <w:t>Emperor</w:t>
      </w:r>
      <w:proofErr w:type="gramEnd"/>
      <w:r>
        <w:rPr>
          <w:sz w:val="24"/>
        </w:rPr>
        <w:t xml:space="preserve"> to condemn the accusers. But he also summoned Athanasius to his presence in </w:t>
      </w:r>
      <w:proofErr w:type="spellStart"/>
      <w:r>
        <w:rPr>
          <w:sz w:val="24"/>
        </w:rPr>
        <w:t>Psammathia</w:t>
      </w:r>
      <w:proofErr w:type="spellEnd"/>
      <w:r>
        <w:rPr>
          <w:sz w:val="24"/>
        </w:rPr>
        <w:t xml:space="preserve"> (outside Nicomedia). Once there, Athanasius was accused of treasonously supporting an enemy of the </w:t>
      </w:r>
      <w:proofErr w:type="gramStart"/>
      <w:r>
        <w:rPr>
          <w:sz w:val="24"/>
        </w:rPr>
        <w:t>Emperor</w:t>
      </w:r>
      <w:proofErr w:type="gramEnd"/>
      <w:r>
        <w:rPr>
          <w:sz w:val="24"/>
        </w:rPr>
        <w:t>, but this charge was also found by the Emperor to be false.</w:t>
      </w:r>
      <w:r>
        <w:rPr>
          <w:rStyle w:val="FootnoteReference"/>
          <w:sz w:val="24"/>
        </w:rPr>
        <w:footnoteReference w:id="42"/>
      </w:r>
      <w:r>
        <w:rPr>
          <w:sz w:val="24"/>
        </w:rPr>
        <w:t xml:space="preserve"> However, a further charge was leveled by the Eusebians against the presbyter Macarius.</w:t>
      </w:r>
    </w:p>
    <w:p w14:paraId="08098312" w14:textId="77777777" w:rsidR="00D319A9" w:rsidRDefault="00D319A9">
      <w:pPr>
        <w:rPr>
          <w:sz w:val="24"/>
        </w:rPr>
      </w:pPr>
      <w:r>
        <w:rPr>
          <w:sz w:val="24"/>
        </w:rPr>
        <w:t>In Mareotis, a district Alexandria that had not welcomed the Meletian schism, a disturbed young man named Ischyras had been masquerading as a priest, and when Athanasius learned of it, he had sent Macarius to summon him. Finding Ischyras sick in bed, Macarius charged the lad’s father to warn him to cease his deception, which he did, but Ischyras, rather than complying, fled to the Meletians and their Eusebian allies, bartering from them the promise of a bishopric in return for a tale accusing Macarius of having interrupted a Divine Liturgy, overthrowing the altar, and breaking the sacred chalice of the liturgy.</w:t>
      </w:r>
      <w:r>
        <w:rPr>
          <w:rStyle w:val="FootnoteReference"/>
          <w:sz w:val="24"/>
        </w:rPr>
        <w:footnoteReference w:id="43"/>
      </w:r>
      <w:r>
        <w:rPr>
          <w:sz w:val="24"/>
        </w:rPr>
        <w:t xml:space="preserve"> Constantine detected the falsity of these charges</w:t>
      </w:r>
      <w:r w:rsidRPr="00F847A4">
        <w:rPr>
          <w:sz w:val="24"/>
        </w:rPr>
        <w:t xml:space="preserve"> </w:t>
      </w:r>
      <w:r>
        <w:rPr>
          <w:sz w:val="24"/>
        </w:rPr>
        <w:t>likewise, and he wrote a long letter to the Church at Alexandria denouncing mendacity and praising the integrity of Athanasius.</w:t>
      </w:r>
      <w:r>
        <w:rPr>
          <w:rStyle w:val="FootnoteReference"/>
          <w:sz w:val="24"/>
        </w:rPr>
        <w:footnoteReference w:id="44"/>
      </w:r>
      <w:r>
        <w:rPr>
          <w:sz w:val="24"/>
        </w:rPr>
        <w:t xml:space="preserve"> Ischyras, furthermore, wrote to Athanasius repenting of his calumny, accusing the Meletians of orchestrating the deceit.</w:t>
      </w:r>
      <w:r>
        <w:rPr>
          <w:rStyle w:val="FootnoteReference"/>
          <w:sz w:val="24"/>
        </w:rPr>
        <w:footnoteReference w:id="45"/>
      </w:r>
    </w:p>
    <w:p w14:paraId="08098313" w14:textId="77777777" w:rsidR="00D319A9" w:rsidRDefault="00D319A9">
      <w:pPr>
        <w:rPr>
          <w:sz w:val="24"/>
        </w:rPr>
      </w:pPr>
      <w:r>
        <w:rPr>
          <w:sz w:val="24"/>
        </w:rPr>
        <w:t xml:space="preserve">However, the Meletians and Eusebians next added a scurrilous murder charge to their bill against Athanasius, leading Constantine to order the Censor </w:t>
      </w:r>
      <w:proofErr w:type="spellStart"/>
      <w:r>
        <w:rPr>
          <w:sz w:val="24"/>
        </w:rPr>
        <w:t>Dalmatius</w:t>
      </w:r>
      <w:proofErr w:type="spellEnd"/>
      <w:r>
        <w:rPr>
          <w:sz w:val="24"/>
        </w:rPr>
        <w:t xml:space="preserve"> in Caesarea to begin proceedings against him. The Meletians had convinced one of their own bishops – Arsenius of </w:t>
      </w:r>
      <w:proofErr w:type="spellStart"/>
      <w:r>
        <w:rPr>
          <w:sz w:val="24"/>
        </w:rPr>
        <w:lastRenderedPageBreak/>
        <w:t>Hypsela</w:t>
      </w:r>
      <w:proofErr w:type="spellEnd"/>
      <w:r>
        <w:rPr>
          <w:sz w:val="24"/>
        </w:rPr>
        <w:t xml:space="preserve"> – to go into hiding so that John </w:t>
      </w:r>
      <w:proofErr w:type="spellStart"/>
      <w:r>
        <w:rPr>
          <w:sz w:val="24"/>
        </w:rPr>
        <w:t>Archaph</w:t>
      </w:r>
      <w:proofErr w:type="spellEnd"/>
      <w:r>
        <w:rPr>
          <w:sz w:val="24"/>
        </w:rPr>
        <w:t xml:space="preserve"> and the others could charge Athanasius with his murder. They even elaborated the charge by placing the hand of a corpse in a small casket, claiming that it was Arsenius’, which Athanasius had severed for practicing sorcery. Athanasius was summoned to Caesarea in 334 to face trial, but, learning of the intrigue and finding Arsenius, he sent word to Constantine that Arsenius was in fact alive, and the </w:t>
      </w:r>
      <w:proofErr w:type="gramStart"/>
      <w:r>
        <w:rPr>
          <w:sz w:val="24"/>
        </w:rPr>
        <w:t>Emperor</w:t>
      </w:r>
      <w:proofErr w:type="gramEnd"/>
      <w:r>
        <w:rPr>
          <w:sz w:val="24"/>
        </w:rPr>
        <w:t xml:space="preserve"> halted the proceedings. John </w:t>
      </w:r>
      <w:proofErr w:type="spellStart"/>
      <w:r>
        <w:rPr>
          <w:sz w:val="24"/>
        </w:rPr>
        <w:t>Archaph</w:t>
      </w:r>
      <w:proofErr w:type="spellEnd"/>
      <w:r>
        <w:rPr>
          <w:sz w:val="24"/>
        </w:rPr>
        <w:t xml:space="preserve">, being disgraced by the revelation of his malicious dishonesty, wrote to Athanasius seeking pardon, an act praised by the </w:t>
      </w:r>
      <w:proofErr w:type="gramStart"/>
      <w:r>
        <w:rPr>
          <w:sz w:val="24"/>
        </w:rPr>
        <w:t>Emperor</w:t>
      </w:r>
      <w:proofErr w:type="gramEnd"/>
      <w:r>
        <w:rPr>
          <w:sz w:val="24"/>
        </w:rPr>
        <w:t xml:space="preserve"> in a letter to John.</w:t>
      </w:r>
      <w:r>
        <w:rPr>
          <w:rStyle w:val="FootnoteReference"/>
          <w:sz w:val="24"/>
        </w:rPr>
        <w:footnoteReference w:id="46"/>
      </w:r>
      <w:r>
        <w:rPr>
          <w:sz w:val="24"/>
        </w:rPr>
        <w:t xml:space="preserve"> </w:t>
      </w:r>
    </w:p>
    <w:p w14:paraId="08098314" w14:textId="77777777" w:rsidR="00D319A9" w:rsidRDefault="00D319A9">
      <w:pPr>
        <w:rPr>
          <w:sz w:val="24"/>
        </w:rPr>
      </w:pPr>
      <w:r>
        <w:rPr>
          <w:sz w:val="24"/>
        </w:rPr>
        <w:t xml:space="preserve">The following year, however, </w:t>
      </w:r>
      <w:r w:rsidRPr="003A6F6B">
        <w:rPr>
          <w:sz w:val="24"/>
        </w:rPr>
        <w:t>Constantine desired a</w:t>
      </w:r>
      <w:r>
        <w:rPr>
          <w:sz w:val="24"/>
        </w:rPr>
        <w:t>n Empire-</w:t>
      </w:r>
      <w:r w:rsidRPr="003A6F6B">
        <w:rPr>
          <w:sz w:val="24"/>
        </w:rPr>
        <w:t xml:space="preserve">unifying council to enhance the celebration of the consecration of his </w:t>
      </w:r>
      <w:r w:rsidRPr="008B778F">
        <w:rPr>
          <w:i/>
          <w:sz w:val="24"/>
        </w:rPr>
        <w:t>Church of the Resurrection</w:t>
      </w:r>
      <w:r w:rsidRPr="003A6F6B">
        <w:rPr>
          <w:sz w:val="24"/>
        </w:rPr>
        <w:t xml:space="preserve"> in Jerusalem, </w:t>
      </w:r>
      <w:r>
        <w:rPr>
          <w:sz w:val="24"/>
        </w:rPr>
        <w:t>a council</w:t>
      </w:r>
      <w:r w:rsidRPr="003A6F6B">
        <w:rPr>
          <w:sz w:val="24"/>
        </w:rPr>
        <w:t xml:space="preserve"> he convoked in Tyre, insisting that Athanasius appear to answer to the growing acc</w:t>
      </w:r>
      <w:r>
        <w:rPr>
          <w:sz w:val="24"/>
        </w:rPr>
        <w:t>usations against him</w:t>
      </w:r>
      <w:r w:rsidRPr="003A6F6B">
        <w:rPr>
          <w:sz w:val="24"/>
        </w:rPr>
        <w:t>.</w:t>
      </w:r>
      <w:r>
        <w:rPr>
          <w:rStyle w:val="FootnoteReference"/>
          <w:sz w:val="24"/>
        </w:rPr>
        <w:footnoteReference w:id="47"/>
      </w:r>
      <w:r w:rsidRPr="003A6F6B">
        <w:rPr>
          <w:sz w:val="24"/>
        </w:rPr>
        <w:t xml:space="preserve"> Ischyras</w:t>
      </w:r>
      <w:r>
        <w:rPr>
          <w:sz w:val="24"/>
        </w:rPr>
        <w:t xml:space="preserve">, embittered at not having been received back </w:t>
      </w:r>
      <w:proofErr w:type="gramStart"/>
      <w:r>
        <w:rPr>
          <w:sz w:val="24"/>
        </w:rPr>
        <w:t>in to</w:t>
      </w:r>
      <w:proofErr w:type="gramEnd"/>
      <w:r>
        <w:rPr>
          <w:sz w:val="24"/>
        </w:rPr>
        <w:t xml:space="preserve"> communion, </w:t>
      </w:r>
      <w:r w:rsidRPr="003A6F6B">
        <w:rPr>
          <w:sz w:val="24"/>
        </w:rPr>
        <w:t>re-appear</w:t>
      </w:r>
      <w:r>
        <w:rPr>
          <w:sz w:val="24"/>
        </w:rPr>
        <w:t xml:space="preserve">ed to </w:t>
      </w:r>
      <w:r w:rsidRPr="003A6F6B">
        <w:rPr>
          <w:sz w:val="24"/>
        </w:rPr>
        <w:t>reiterat</w:t>
      </w:r>
      <w:r>
        <w:rPr>
          <w:sz w:val="24"/>
        </w:rPr>
        <w:t>e</w:t>
      </w:r>
      <w:r w:rsidRPr="003A6F6B">
        <w:rPr>
          <w:sz w:val="24"/>
        </w:rPr>
        <w:t xml:space="preserve"> his previously recanted accusations concerning the chalice</w:t>
      </w:r>
      <w:r>
        <w:rPr>
          <w:sz w:val="24"/>
        </w:rPr>
        <w:t xml:space="preserve">. Some other charges were also made, and then the allegations of Arsenius’ murder were once again broached – the allegedly severed hand even being presented as evidence of the crime. </w:t>
      </w:r>
      <w:r w:rsidRPr="003A6F6B">
        <w:rPr>
          <w:sz w:val="24"/>
        </w:rPr>
        <w:t>Athanasius again disproved the charges against him</w:t>
      </w:r>
      <w:r>
        <w:rPr>
          <w:sz w:val="24"/>
        </w:rPr>
        <w:t>,</w:t>
      </w:r>
      <w:r w:rsidRPr="003A6F6B">
        <w:rPr>
          <w:sz w:val="24"/>
        </w:rPr>
        <w:t xml:space="preserve"> </w:t>
      </w:r>
      <w:r>
        <w:rPr>
          <w:sz w:val="24"/>
        </w:rPr>
        <w:t>as well as</w:t>
      </w:r>
      <w:r w:rsidRPr="003A6F6B">
        <w:rPr>
          <w:sz w:val="24"/>
        </w:rPr>
        <w:t xml:space="preserve"> the bad faith of his accusers, theatrically producing the supposedly dead bi</w:t>
      </w:r>
      <w:r>
        <w:rPr>
          <w:sz w:val="24"/>
        </w:rPr>
        <w:t>shop, along with all his hands.</w:t>
      </w:r>
      <w:r>
        <w:rPr>
          <w:rStyle w:val="FootnoteReference"/>
          <w:sz w:val="24"/>
        </w:rPr>
        <w:footnoteReference w:id="48"/>
      </w:r>
      <w:r>
        <w:rPr>
          <w:sz w:val="24"/>
        </w:rPr>
        <w:t xml:space="preserve"> The Eusebians, still not shamed into admitting their duplicity, assigned a deputation of Athanasius’ enemies to travel to Mareotis to gather additional evidence concerning the Ischyras affair.</w:t>
      </w:r>
      <w:r>
        <w:rPr>
          <w:rStyle w:val="FootnoteReference"/>
          <w:sz w:val="24"/>
        </w:rPr>
        <w:footnoteReference w:id="49"/>
      </w:r>
      <w:r>
        <w:rPr>
          <w:sz w:val="24"/>
        </w:rPr>
        <w:t xml:space="preserve"> Athanasius quit the synod, and, </w:t>
      </w:r>
      <w:r w:rsidRPr="003A6F6B">
        <w:rPr>
          <w:sz w:val="24"/>
        </w:rPr>
        <w:t>in absentia, was condemned for fleeing, and subsequently deposed.</w:t>
      </w:r>
      <w:r>
        <w:rPr>
          <w:sz w:val="24"/>
        </w:rPr>
        <w:t xml:space="preserve"> The Meletian John </w:t>
      </w:r>
      <w:proofErr w:type="spellStart"/>
      <w:r>
        <w:rPr>
          <w:sz w:val="24"/>
        </w:rPr>
        <w:t>Archaph</w:t>
      </w:r>
      <w:proofErr w:type="spellEnd"/>
      <w:r>
        <w:rPr>
          <w:sz w:val="24"/>
        </w:rPr>
        <w:t xml:space="preserve"> and his suffragans, were restored.</w:t>
      </w:r>
      <w:r>
        <w:rPr>
          <w:rStyle w:val="FootnoteReference"/>
          <w:sz w:val="24"/>
        </w:rPr>
        <w:footnoteReference w:id="50"/>
      </w:r>
      <w:r>
        <w:rPr>
          <w:sz w:val="24"/>
        </w:rPr>
        <w:t xml:space="preserve"> Indeed, even </w:t>
      </w:r>
      <w:r w:rsidRPr="003A6F6B">
        <w:rPr>
          <w:sz w:val="24"/>
        </w:rPr>
        <w:t xml:space="preserve">Arsenius </w:t>
      </w:r>
      <w:r>
        <w:rPr>
          <w:sz w:val="24"/>
        </w:rPr>
        <w:t>was</w:t>
      </w:r>
      <w:r w:rsidRPr="003A6F6B">
        <w:rPr>
          <w:sz w:val="24"/>
        </w:rPr>
        <w:t xml:space="preserve"> accepted by the synod back into communion and installed </w:t>
      </w:r>
      <w:r>
        <w:rPr>
          <w:sz w:val="24"/>
        </w:rPr>
        <w:t xml:space="preserve">as the bishop of </w:t>
      </w:r>
      <w:proofErr w:type="spellStart"/>
      <w:r>
        <w:rPr>
          <w:sz w:val="24"/>
        </w:rPr>
        <w:t>Hypsela</w:t>
      </w:r>
      <w:proofErr w:type="spellEnd"/>
      <w:r w:rsidRPr="003A6F6B">
        <w:rPr>
          <w:sz w:val="24"/>
        </w:rPr>
        <w:t xml:space="preserve">, </w:t>
      </w:r>
      <w:r>
        <w:rPr>
          <w:sz w:val="24"/>
        </w:rPr>
        <w:t xml:space="preserve">so that </w:t>
      </w:r>
      <w:r w:rsidRPr="003A6F6B">
        <w:rPr>
          <w:sz w:val="24"/>
        </w:rPr>
        <w:t>Socrates notes ironically: “by an extraordinary course of circumstances, the alleged victim of assassination by Athanasius, was found ali</w:t>
      </w:r>
      <w:r>
        <w:rPr>
          <w:sz w:val="24"/>
        </w:rPr>
        <w:t>ve to assist in degrading him”</w:t>
      </w:r>
      <w:r w:rsidRPr="003A6F6B">
        <w:rPr>
          <w:sz w:val="24"/>
        </w:rPr>
        <w:t>.</w:t>
      </w:r>
      <w:r>
        <w:rPr>
          <w:rStyle w:val="FootnoteReference"/>
          <w:sz w:val="24"/>
        </w:rPr>
        <w:footnoteReference w:id="51"/>
      </w:r>
      <w:r>
        <w:rPr>
          <w:sz w:val="24"/>
        </w:rPr>
        <w:t xml:space="preserve"> Athanasius would be banished by Constantine to Gaul.</w:t>
      </w:r>
    </w:p>
    <w:p w14:paraId="5B700FE3" w14:textId="77777777" w:rsidR="0035245B" w:rsidRDefault="00D319A9" w:rsidP="008405DA">
      <w:pPr>
        <w:rPr>
          <w:sz w:val="24"/>
        </w:rPr>
      </w:pPr>
      <w:r>
        <w:rPr>
          <w:sz w:val="24"/>
        </w:rPr>
        <w:lastRenderedPageBreak/>
        <w:t>That would prove a shallow victory for the Meletians, however. Though Constantine had exiled Athanasius, he would not allow another to occupy his See.</w:t>
      </w:r>
      <w:r>
        <w:rPr>
          <w:rStyle w:val="FootnoteReference"/>
          <w:sz w:val="24"/>
        </w:rPr>
        <w:footnoteReference w:id="52"/>
      </w:r>
      <w:r>
        <w:rPr>
          <w:sz w:val="24"/>
        </w:rPr>
        <w:t xml:space="preserve"> With the sect’s founder dead, and his successor utterly disgraced and finally exiled by the </w:t>
      </w:r>
      <w:proofErr w:type="gramStart"/>
      <w:r>
        <w:rPr>
          <w:sz w:val="24"/>
        </w:rPr>
        <w:t>Emperor</w:t>
      </w:r>
      <w:proofErr w:type="gramEnd"/>
      <w:r>
        <w:rPr>
          <w:sz w:val="24"/>
        </w:rPr>
        <w:t xml:space="preserve"> on account of the factionalism that would erupt in Alexandria after Athanasius’ banishment,</w:t>
      </w:r>
      <w:r>
        <w:rPr>
          <w:rStyle w:val="FootnoteReference"/>
          <w:sz w:val="24"/>
        </w:rPr>
        <w:footnoteReference w:id="53"/>
      </w:r>
      <w:r>
        <w:rPr>
          <w:sz w:val="24"/>
        </w:rPr>
        <w:t xml:space="preserve"> the Meletians would find that their Eusebian friends had little use for them once Athanasius was out of the way. None of the men the Eusebians would impose on the Evangelic See were of the Meletians: </w:t>
      </w:r>
      <w:proofErr w:type="spellStart"/>
      <w:r>
        <w:rPr>
          <w:sz w:val="24"/>
        </w:rPr>
        <w:t>Pistus</w:t>
      </w:r>
      <w:proofErr w:type="spellEnd"/>
      <w:r>
        <w:rPr>
          <w:sz w:val="24"/>
        </w:rPr>
        <w:t xml:space="preserve">, an Egyptian and Arian, but not a Meletian; Gregory, a Cappadocian of the Eusebian party; George, likewise a Cappadocian of the Eusebian party; and Lucius, Arian. </w:t>
      </w:r>
    </w:p>
    <w:p w14:paraId="663F06BB" w14:textId="77777777" w:rsidR="00962449" w:rsidRDefault="0035245B" w:rsidP="008405DA">
      <w:pPr>
        <w:rPr>
          <w:sz w:val="24"/>
        </w:rPr>
      </w:pPr>
      <w:r>
        <w:rPr>
          <w:sz w:val="24"/>
        </w:rPr>
        <w:t>Thus,</w:t>
      </w:r>
      <w:r w:rsidR="00D319A9">
        <w:rPr>
          <w:sz w:val="24"/>
        </w:rPr>
        <w:t xml:space="preserve"> the faction, which was founded in defiance of imperial domination over Egyptian religion, in the end became a tool in the hands of foreign heresiarchs who manipulated imperial favor for their irreligious ends. </w:t>
      </w:r>
    </w:p>
    <w:p w14:paraId="08098315" w14:textId="345CC6AF" w:rsidR="008405DA" w:rsidRDefault="00D319A9" w:rsidP="008405DA">
      <w:pPr>
        <w:rPr>
          <w:sz w:val="24"/>
        </w:rPr>
        <w:sectPr w:rsidR="008405DA" w:rsidSect="0082192C">
          <w:headerReference w:type="default" r:id="rId8"/>
          <w:footerReference w:type="default" r:id="rId9"/>
          <w:endnotePr>
            <w:numFmt w:val="decimal"/>
          </w:endnotePr>
          <w:pgSz w:w="12240" w:h="15840" w:code="1"/>
          <w:pgMar w:top="1584" w:right="1368" w:bottom="1296" w:left="1440" w:header="720" w:footer="720" w:gutter="0"/>
          <w:pgNumType w:start="0"/>
          <w:cols w:space="720"/>
          <w:titlePg/>
          <w:docGrid w:linePitch="360"/>
        </w:sectPr>
      </w:pPr>
      <w:r>
        <w:rPr>
          <w:sz w:val="24"/>
        </w:rPr>
        <w:t>A remnant of the faction would linger for about a hundred years; then they disappear.</w:t>
      </w:r>
      <w:r>
        <w:rPr>
          <w:rStyle w:val="FootnoteReference"/>
          <w:sz w:val="24"/>
        </w:rPr>
        <w:footnoteReference w:id="54"/>
      </w:r>
      <w:r>
        <w:rPr>
          <w:sz w:val="24"/>
        </w:rPr>
        <w:t xml:space="preserve"> </w:t>
      </w:r>
      <w:r w:rsidR="008405DA">
        <w:rPr>
          <w:sz w:val="24"/>
        </w:rPr>
        <w:t xml:space="preserve"> </w:t>
      </w:r>
    </w:p>
    <w:p w14:paraId="5735837B" w14:textId="77777777" w:rsidR="00C727C3" w:rsidRPr="008A3A63" w:rsidRDefault="00C727C3" w:rsidP="007605EB">
      <w:pPr>
        <w:ind w:left="475" w:hanging="475"/>
        <w:rPr>
          <w:b/>
          <w:sz w:val="24"/>
          <w:szCs w:val="24"/>
        </w:rPr>
      </w:pPr>
      <w:r w:rsidRPr="008A3A63">
        <w:rPr>
          <w:b/>
          <w:sz w:val="24"/>
          <w:szCs w:val="24"/>
        </w:rPr>
        <w:lastRenderedPageBreak/>
        <w:t>Bibliography:</w:t>
      </w:r>
    </w:p>
    <w:p w14:paraId="3B01F494" w14:textId="77777777" w:rsidR="00C727C3" w:rsidRPr="008A3A63" w:rsidRDefault="00C727C3" w:rsidP="007605EB">
      <w:pPr>
        <w:ind w:left="475" w:hanging="475"/>
        <w:rPr>
          <w:sz w:val="24"/>
          <w:szCs w:val="24"/>
        </w:rPr>
      </w:pPr>
      <w:r w:rsidRPr="008A3A63">
        <w:rPr>
          <w:sz w:val="24"/>
          <w:szCs w:val="24"/>
        </w:rPr>
        <w:t xml:space="preserve">Athanasius of Alexandria. “Defense against the Arians.” Eds. Philip Schaff and Henry Wace. </w:t>
      </w:r>
      <w:r w:rsidRPr="008A3A63">
        <w:rPr>
          <w:i/>
          <w:iCs/>
          <w:sz w:val="24"/>
          <w:szCs w:val="24"/>
        </w:rPr>
        <w:t>A Select Library of the Nicene and Post-Nicene Fathers of the Christian Church, Second Series: St. Athanasius: Select Works and Letters</w:t>
      </w:r>
      <w:r w:rsidRPr="008A3A63">
        <w:rPr>
          <w:sz w:val="24"/>
          <w:szCs w:val="24"/>
        </w:rPr>
        <w:t>. Vol. 4. New York: Christian Literature Company, 1892. 100-47. Logos eBook.</w:t>
      </w:r>
    </w:p>
    <w:p w14:paraId="5510A503" w14:textId="77777777" w:rsidR="00C727C3" w:rsidRPr="008A3A63" w:rsidRDefault="00C727C3" w:rsidP="007605EB">
      <w:pPr>
        <w:ind w:left="475" w:hanging="475"/>
        <w:rPr>
          <w:sz w:val="24"/>
          <w:szCs w:val="24"/>
        </w:rPr>
      </w:pPr>
      <w:r w:rsidRPr="008A3A63">
        <w:rPr>
          <w:sz w:val="24"/>
          <w:szCs w:val="24"/>
        </w:rPr>
        <w:t xml:space="preserve">---. “To the Bishops of Egypt.” Eds. Philip Schaff and Henry Wace. </w:t>
      </w:r>
      <w:r w:rsidRPr="008A3A63">
        <w:rPr>
          <w:i/>
          <w:iCs/>
          <w:sz w:val="24"/>
          <w:szCs w:val="24"/>
        </w:rPr>
        <w:t>A Select Library of the Nicene and Post-Nicene Fathers of the Christian Church, Second Series: St. Athanasius: Select Works and Letters</w:t>
      </w:r>
      <w:r w:rsidRPr="008A3A63">
        <w:rPr>
          <w:sz w:val="24"/>
          <w:szCs w:val="24"/>
        </w:rPr>
        <w:t>. Vol. 4. New York: Christian Literature Company, 1892. 223-35. Logos eBook.</w:t>
      </w:r>
    </w:p>
    <w:p w14:paraId="7A97365C" w14:textId="77777777" w:rsidR="00C727C3" w:rsidRPr="008A3A63" w:rsidRDefault="00C727C3" w:rsidP="007605EB">
      <w:pPr>
        <w:ind w:left="475" w:hanging="475"/>
        <w:rPr>
          <w:sz w:val="24"/>
          <w:szCs w:val="24"/>
        </w:rPr>
      </w:pPr>
      <w:proofErr w:type="spellStart"/>
      <w:r w:rsidRPr="008A3A63">
        <w:rPr>
          <w:sz w:val="24"/>
          <w:szCs w:val="24"/>
        </w:rPr>
        <w:t>Brakke</w:t>
      </w:r>
      <w:proofErr w:type="spellEnd"/>
      <w:r w:rsidRPr="008A3A63">
        <w:rPr>
          <w:sz w:val="24"/>
          <w:szCs w:val="24"/>
        </w:rPr>
        <w:t xml:space="preserve">, David. "Athanasius." </w:t>
      </w:r>
      <w:r w:rsidRPr="008A3A63">
        <w:rPr>
          <w:i/>
          <w:sz w:val="24"/>
          <w:szCs w:val="24"/>
        </w:rPr>
        <w:t xml:space="preserve">The Early Christian World, </w:t>
      </w:r>
      <w:r w:rsidRPr="008A3A63">
        <w:rPr>
          <w:sz w:val="24"/>
          <w:szCs w:val="24"/>
        </w:rPr>
        <w:t xml:space="preserve">2000. Ed. Philip F. </w:t>
      </w:r>
      <w:proofErr w:type="spellStart"/>
      <w:r w:rsidRPr="008A3A63">
        <w:rPr>
          <w:sz w:val="24"/>
          <w:szCs w:val="24"/>
        </w:rPr>
        <w:t>Esler</w:t>
      </w:r>
      <w:proofErr w:type="spellEnd"/>
      <w:r w:rsidRPr="008A3A63">
        <w:rPr>
          <w:sz w:val="24"/>
          <w:szCs w:val="24"/>
        </w:rPr>
        <w:t>. Vol. 2. London; New York: Routledge, 2004. 1102-27. Print.</w:t>
      </w:r>
    </w:p>
    <w:p w14:paraId="160D5233" w14:textId="77777777" w:rsidR="00C727C3" w:rsidRPr="008A3A63" w:rsidRDefault="00C727C3" w:rsidP="007605EB">
      <w:pPr>
        <w:ind w:left="475" w:hanging="475"/>
        <w:rPr>
          <w:sz w:val="24"/>
          <w:szCs w:val="24"/>
        </w:rPr>
      </w:pPr>
      <w:r w:rsidRPr="008A3A63">
        <w:rPr>
          <w:sz w:val="24"/>
          <w:szCs w:val="24"/>
        </w:rPr>
        <w:t xml:space="preserve">Casey, Robert P. “New Papyri concerning Incidents at Alexandria.” </w:t>
      </w:r>
      <w:r w:rsidRPr="008A3A63">
        <w:rPr>
          <w:i/>
          <w:sz w:val="24"/>
          <w:szCs w:val="24"/>
        </w:rPr>
        <w:t>Harvard Theological Review</w:t>
      </w:r>
      <w:r w:rsidRPr="008A3A63">
        <w:rPr>
          <w:sz w:val="24"/>
          <w:szCs w:val="24"/>
        </w:rPr>
        <w:t xml:space="preserve">. 18.3. (1925): 285-292. </w:t>
      </w:r>
      <w:r w:rsidRPr="008A3A63">
        <w:rPr>
          <w:i/>
          <w:sz w:val="24"/>
          <w:szCs w:val="24"/>
        </w:rPr>
        <w:t>JSTOR</w:t>
      </w:r>
      <w:r w:rsidRPr="008A3A63">
        <w:rPr>
          <w:sz w:val="24"/>
          <w:szCs w:val="24"/>
        </w:rPr>
        <w:t>. PDF. 11 Jan 2014.</w:t>
      </w:r>
    </w:p>
    <w:p w14:paraId="18171BDD" w14:textId="77777777" w:rsidR="00C727C3" w:rsidRPr="008A3A63" w:rsidRDefault="00C727C3" w:rsidP="007605EB">
      <w:pPr>
        <w:ind w:left="475" w:hanging="475"/>
        <w:rPr>
          <w:sz w:val="24"/>
          <w:szCs w:val="24"/>
        </w:rPr>
      </w:pPr>
      <w:r w:rsidRPr="008A3A63">
        <w:rPr>
          <w:sz w:val="24"/>
          <w:szCs w:val="24"/>
        </w:rPr>
        <w:t xml:space="preserve">Eusebius of Caesarea. “The Book of the Martyrs of Palestine.” </w:t>
      </w:r>
      <w:r w:rsidRPr="008A3A63">
        <w:rPr>
          <w:i/>
          <w:iCs/>
          <w:sz w:val="24"/>
          <w:szCs w:val="24"/>
        </w:rPr>
        <w:t>An Ecclesiastical History to the 20th Year of the Reign of Constantine</w:t>
      </w:r>
      <w:r w:rsidRPr="008A3A63">
        <w:rPr>
          <w:sz w:val="24"/>
          <w:szCs w:val="24"/>
        </w:rPr>
        <w:t xml:space="preserve">. London: Samuel </w:t>
      </w:r>
      <w:proofErr w:type="spellStart"/>
      <w:r w:rsidRPr="008A3A63">
        <w:rPr>
          <w:sz w:val="24"/>
          <w:szCs w:val="24"/>
        </w:rPr>
        <w:t>Bagster</w:t>
      </w:r>
      <w:proofErr w:type="spellEnd"/>
      <w:r w:rsidRPr="008A3A63">
        <w:rPr>
          <w:sz w:val="24"/>
          <w:szCs w:val="24"/>
        </w:rPr>
        <w:t xml:space="preserve"> and Sons, 1847. 356-85. Logos eBook.</w:t>
      </w:r>
    </w:p>
    <w:p w14:paraId="49949CA4" w14:textId="77777777" w:rsidR="00C727C3" w:rsidRPr="008A3A63" w:rsidRDefault="00C727C3" w:rsidP="007605EB">
      <w:pPr>
        <w:ind w:left="475" w:hanging="475"/>
        <w:rPr>
          <w:sz w:val="24"/>
          <w:szCs w:val="24"/>
        </w:rPr>
      </w:pPr>
      <w:r w:rsidRPr="008A3A63">
        <w:rPr>
          <w:sz w:val="24"/>
          <w:szCs w:val="24"/>
        </w:rPr>
        <w:t xml:space="preserve">Frankfurter, David. “The Cult of the Martyrs in Egypt before Constantine: The Evidence of the Coptic ‘Apocalypse of Elijah’.” </w:t>
      </w:r>
      <w:proofErr w:type="spellStart"/>
      <w:r w:rsidRPr="008A3A63">
        <w:rPr>
          <w:i/>
          <w:sz w:val="24"/>
          <w:szCs w:val="24"/>
        </w:rPr>
        <w:t>Vigiliae</w:t>
      </w:r>
      <w:proofErr w:type="spellEnd"/>
      <w:r w:rsidRPr="008A3A63">
        <w:rPr>
          <w:i/>
          <w:sz w:val="24"/>
          <w:szCs w:val="24"/>
        </w:rPr>
        <w:t xml:space="preserve"> </w:t>
      </w:r>
      <w:proofErr w:type="spellStart"/>
      <w:r w:rsidRPr="008A3A63">
        <w:rPr>
          <w:i/>
          <w:sz w:val="24"/>
          <w:szCs w:val="24"/>
        </w:rPr>
        <w:t>Christianae</w:t>
      </w:r>
      <w:proofErr w:type="spellEnd"/>
      <w:r w:rsidRPr="008A3A63">
        <w:rPr>
          <w:sz w:val="24"/>
          <w:szCs w:val="24"/>
        </w:rPr>
        <w:t xml:space="preserve">. 48.1 (1994): 25-47.  </w:t>
      </w:r>
      <w:r w:rsidRPr="008A3A63">
        <w:rPr>
          <w:i/>
          <w:sz w:val="24"/>
          <w:szCs w:val="24"/>
        </w:rPr>
        <w:t>JSTOR</w:t>
      </w:r>
      <w:r w:rsidRPr="008A3A63">
        <w:rPr>
          <w:sz w:val="24"/>
          <w:szCs w:val="24"/>
        </w:rPr>
        <w:t>. PDF. 13 Jan 2014.</w:t>
      </w:r>
    </w:p>
    <w:p w14:paraId="654A119F" w14:textId="77777777" w:rsidR="00C727C3" w:rsidRPr="008A3A63" w:rsidRDefault="00C727C3" w:rsidP="007605EB">
      <w:pPr>
        <w:ind w:left="475" w:hanging="475"/>
        <w:rPr>
          <w:sz w:val="24"/>
          <w:szCs w:val="24"/>
        </w:rPr>
      </w:pPr>
      <w:r w:rsidRPr="008A3A63">
        <w:rPr>
          <w:sz w:val="24"/>
          <w:szCs w:val="24"/>
        </w:rPr>
        <w:t xml:space="preserve">Hefele, Charles Joseph. </w:t>
      </w:r>
      <w:r w:rsidRPr="008A3A63">
        <w:rPr>
          <w:i/>
          <w:iCs/>
          <w:sz w:val="24"/>
          <w:szCs w:val="24"/>
        </w:rPr>
        <w:t>A History of the Councils of the Church</w:t>
      </w:r>
      <w:r w:rsidRPr="008A3A63">
        <w:rPr>
          <w:sz w:val="24"/>
          <w:szCs w:val="24"/>
        </w:rPr>
        <w:t>. Trans. William R. Clark. Vol. 1. Edinburgh: T&amp;T Clark, 1871. Logos eBook.</w:t>
      </w:r>
    </w:p>
    <w:p w14:paraId="6592FCFE" w14:textId="77777777" w:rsidR="00C727C3" w:rsidRPr="008A3A63" w:rsidRDefault="00C727C3" w:rsidP="007605EB">
      <w:pPr>
        <w:ind w:left="475" w:hanging="475"/>
        <w:rPr>
          <w:sz w:val="24"/>
          <w:szCs w:val="24"/>
        </w:rPr>
      </w:pPr>
      <w:r w:rsidRPr="008A3A63">
        <w:rPr>
          <w:sz w:val="24"/>
          <w:szCs w:val="24"/>
        </w:rPr>
        <w:t xml:space="preserve">---. </w:t>
      </w:r>
      <w:r w:rsidRPr="008A3A63">
        <w:rPr>
          <w:i/>
          <w:iCs/>
          <w:sz w:val="24"/>
          <w:szCs w:val="24"/>
        </w:rPr>
        <w:t>A History of the Councils of the Church</w:t>
      </w:r>
      <w:r w:rsidRPr="008A3A63">
        <w:rPr>
          <w:sz w:val="24"/>
          <w:szCs w:val="24"/>
        </w:rPr>
        <w:t xml:space="preserve">. Trans. Henry </w:t>
      </w:r>
      <w:proofErr w:type="spellStart"/>
      <w:r w:rsidRPr="008A3A63">
        <w:rPr>
          <w:sz w:val="24"/>
          <w:szCs w:val="24"/>
        </w:rPr>
        <w:t>Nutcombe</w:t>
      </w:r>
      <w:proofErr w:type="spellEnd"/>
      <w:r w:rsidRPr="008A3A63">
        <w:rPr>
          <w:sz w:val="24"/>
          <w:szCs w:val="24"/>
        </w:rPr>
        <w:t xml:space="preserve"> </w:t>
      </w:r>
      <w:proofErr w:type="spellStart"/>
      <w:r w:rsidRPr="008A3A63">
        <w:rPr>
          <w:sz w:val="24"/>
          <w:szCs w:val="24"/>
        </w:rPr>
        <w:t>Oxenham</w:t>
      </w:r>
      <w:proofErr w:type="spellEnd"/>
      <w:r w:rsidRPr="008A3A63">
        <w:rPr>
          <w:sz w:val="24"/>
          <w:szCs w:val="24"/>
        </w:rPr>
        <w:t>. Vol. 2. Edinburgh: T&amp;T Clark, 1876. Logos eBook.</w:t>
      </w:r>
    </w:p>
    <w:p w14:paraId="53007C41" w14:textId="77777777" w:rsidR="00C727C3" w:rsidRPr="008A3A63" w:rsidRDefault="00C727C3" w:rsidP="007605EB">
      <w:pPr>
        <w:ind w:left="475" w:hanging="475"/>
        <w:rPr>
          <w:sz w:val="24"/>
          <w:szCs w:val="24"/>
        </w:rPr>
      </w:pPr>
      <w:r w:rsidRPr="008A3A63">
        <w:rPr>
          <w:sz w:val="24"/>
          <w:szCs w:val="24"/>
        </w:rPr>
        <w:t xml:space="preserve">Socrates Scholasticus. </w:t>
      </w:r>
      <w:r w:rsidRPr="008A3A63">
        <w:rPr>
          <w:i/>
          <w:sz w:val="24"/>
          <w:szCs w:val="24"/>
        </w:rPr>
        <w:t xml:space="preserve">Ecclesiastical History: </w:t>
      </w:r>
      <w:r w:rsidRPr="008A3A63">
        <w:rPr>
          <w:i/>
          <w:iCs/>
          <w:sz w:val="24"/>
          <w:szCs w:val="24"/>
        </w:rPr>
        <w:t>A History of the Church in Seven Books</w:t>
      </w:r>
      <w:r w:rsidRPr="008A3A63">
        <w:rPr>
          <w:sz w:val="24"/>
          <w:szCs w:val="24"/>
        </w:rPr>
        <w:t xml:space="preserve">. London: Samuel </w:t>
      </w:r>
      <w:proofErr w:type="spellStart"/>
      <w:r w:rsidRPr="008A3A63">
        <w:rPr>
          <w:sz w:val="24"/>
          <w:szCs w:val="24"/>
        </w:rPr>
        <w:t>Bagster</w:t>
      </w:r>
      <w:proofErr w:type="spellEnd"/>
      <w:r w:rsidRPr="008A3A63">
        <w:rPr>
          <w:sz w:val="24"/>
          <w:szCs w:val="24"/>
        </w:rPr>
        <w:t xml:space="preserve"> and Sons, 1844. Logos eBook.</w:t>
      </w:r>
    </w:p>
    <w:p w14:paraId="54ABBD9A" w14:textId="77777777" w:rsidR="00C727C3" w:rsidRPr="008A3A63" w:rsidRDefault="00C727C3" w:rsidP="007605EB">
      <w:pPr>
        <w:ind w:left="475" w:hanging="475"/>
        <w:rPr>
          <w:sz w:val="24"/>
          <w:szCs w:val="24"/>
        </w:rPr>
      </w:pPr>
      <w:r w:rsidRPr="008A3A63">
        <w:rPr>
          <w:sz w:val="24"/>
          <w:szCs w:val="24"/>
        </w:rPr>
        <w:lastRenderedPageBreak/>
        <w:t xml:space="preserve">Sozomen. </w:t>
      </w:r>
      <w:r w:rsidRPr="008A3A63">
        <w:rPr>
          <w:i/>
          <w:sz w:val="24"/>
          <w:szCs w:val="24"/>
        </w:rPr>
        <w:t xml:space="preserve">Ecclesiastical History: </w:t>
      </w:r>
      <w:r w:rsidRPr="008A3A63">
        <w:rPr>
          <w:i/>
          <w:iCs/>
          <w:sz w:val="24"/>
          <w:szCs w:val="24"/>
        </w:rPr>
        <w:t>A History of the Church in Nine Books</w:t>
      </w:r>
      <w:r w:rsidRPr="008A3A63">
        <w:rPr>
          <w:sz w:val="24"/>
          <w:szCs w:val="24"/>
        </w:rPr>
        <w:t xml:space="preserve">. London: Samuel </w:t>
      </w:r>
      <w:proofErr w:type="spellStart"/>
      <w:r w:rsidRPr="008A3A63">
        <w:rPr>
          <w:sz w:val="24"/>
          <w:szCs w:val="24"/>
        </w:rPr>
        <w:t>Bagster</w:t>
      </w:r>
      <w:proofErr w:type="spellEnd"/>
      <w:r w:rsidRPr="008A3A63">
        <w:rPr>
          <w:sz w:val="24"/>
          <w:szCs w:val="24"/>
        </w:rPr>
        <w:t xml:space="preserve"> and Sons, 1846. Logos eBook.</w:t>
      </w:r>
    </w:p>
    <w:p w14:paraId="5B959DAD" w14:textId="77777777" w:rsidR="00C727C3" w:rsidRPr="008A3A63" w:rsidRDefault="00C727C3" w:rsidP="007605EB">
      <w:pPr>
        <w:ind w:left="475" w:hanging="475"/>
        <w:rPr>
          <w:sz w:val="24"/>
          <w:szCs w:val="24"/>
        </w:rPr>
      </w:pPr>
      <w:r w:rsidRPr="008A3A63">
        <w:rPr>
          <w:sz w:val="24"/>
          <w:szCs w:val="24"/>
        </w:rPr>
        <w:t xml:space="preserve">Stevenson, </w:t>
      </w:r>
      <w:proofErr w:type="gramStart"/>
      <w:r w:rsidRPr="008A3A63">
        <w:rPr>
          <w:sz w:val="24"/>
          <w:szCs w:val="24"/>
        </w:rPr>
        <w:t>J.</w:t>
      </w:r>
      <w:proofErr w:type="gramEnd"/>
      <w:r w:rsidRPr="008A3A63">
        <w:rPr>
          <w:sz w:val="24"/>
          <w:szCs w:val="24"/>
        </w:rPr>
        <w:t xml:space="preserve"> and W. H. C. </w:t>
      </w:r>
      <w:proofErr w:type="spellStart"/>
      <w:r w:rsidRPr="008A3A63">
        <w:rPr>
          <w:sz w:val="24"/>
          <w:szCs w:val="24"/>
        </w:rPr>
        <w:t>Frend</w:t>
      </w:r>
      <w:proofErr w:type="spellEnd"/>
      <w:r w:rsidRPr="008A3A63">
        <w:rPr>
          <w:sz w:val="24"/>
          <w:szCs w:val="24"/>
        </w:rPr>
        <w:t xml:space="preserve">, eds. </w:t>
      </w:r>
      <w:r w:rsidRPr="008A3A63">
        <w:rPr>
          <w:i/>
          <w:iCs/>
          <w:sz w:val="24"/>
          <w:szCs w:val="24"/>
        </w:rPr>
        <w:t>A New Eusebius: Documents Illustrating the History of the Church to AD 337</w:t>
      </w:r>
      <w:r w:rsidRPr="008A3A63">
        <w:rPr>
          <w:sz w:val="24"/>
          <w:szCs w:val="24"/>
        </w:rPr>
        <w:t>. 2</w:t>
      </w:r>
      <w:r w:rsidRPr="008A3A63">
        <w:rPr>
          <w:sz w:val="24"/>
          <w:szCs w:val="24"/>
          <w:vertAlign w:val="superscript"/>
        </w:rPr>
        <w:t>nd</w:t>
      </w:r>
      <w:r w:rsidRPr="008A3A63">
        <w:rPr>
          <w:sz w:val="24"/>
          <w:szCs w:val="24"/>
        </w:rPr>
        <w:t xml:space="preserve"> ed. London: SPCK, 1987. Logos eBook.</w:t>
      </w:r>
    </w:p>
    <w:p w14:paraId="15CEE2CC" w14:textId="77777777" w:rsidR="00C727C3" w:rsidRPr="008A3A63" w:rsidRDefault="00C727C3" w:rsidP="007605EB">
      <w:pPr>
        <w:ind w:left="475" w:hanging="475"/>
        <w:rPr>
          <w:sz w:val="24"/>
          <w:szCs w:val="24"/>
        </w:rPr>
      </w:pPr>
      <w:r w:rsidRPr="008A3A63">
        <w:rPr>
          <w:sz w:val="24"/>
          <w:szCs w:val="24"/>
        </w:rPr>
        <w:t xml:space="preserve">Telfer, W. “Meletius of Lycopolis and Episcopal Succession in Egypt.” </w:t>
      </w:r>
      <w:r w:rsidRPr="008A3A63">
        <w:rPr>
          <w:i/>
          <w:sz w:val="24"/>
          <w:szCs w:val="24"/>
        </w:rPr>
        <w:t>Harvard Theological Review</w:t>
      </w:r>
      <w:r w:rsidRPr="008A3A63">
        <w:rPr>
          <w:sz w:val="24"/>
          <w:szCs w:val="24"/>
        </w:rPr>
        <w:t xml:space="preserve">. 48.4. (1955): 227-237. </w:t>
      </w:r>
      <w:r w:rsidRPr="008A3A63">
        <w:rPr>
          <w:i/>
          <w:sz w:val="24"/>
          <w:szCs w:val="24"/>
        </w:rPr>
        <w:t>JSTOR</w:t>
      </w:r>
      <w:r w:rsidRPr="008A3A63">
        <w:rPr>
          <w:sz w:val="24"/>
          <w:szCs w:val="24"/>
        </w:rPr>
        <w:t>. PDF. 11 Jan 2014.</w:t>
      </w:r>
    </w:p>
    <w:p w14:paraId="3CDF63A2" w14:textId="77777777" w:rsidR="00C727C3" w:rsidRPr="008A3A63" w:rsidRDefault="00C727C3" w:rsidP="007605EB">
      <w:pPr>
        <w:ind w:left="475" w:hanging="475"/>
        <w:rPr>
          <w:sz w:val="24"/>
          <w:szCs w:val="24"/>
        </w:rPr>
      </w:pPr>
      <w:proofErr w:type="spellStart"/>
      <w:r w:rsidRPr="008A3A63">
        <w:rPr>
          <w:sz w:val="24"/>
          <w:szCs w:val="24"/>
        </w:rPr>
        <w:t>Theodoretus</w:t>
      </w:r>
      <w:proofErr w:type="spellEnd"/>
      <w:r w:rsidRPr="008A3A63">
        <w:rPr>
          <w:sz w:val="24"/>
          <w:szCs w:val="24"/>
        </w:rPr>
        <w:t xml:space="preserve">. </w:t>
      </w:r>
      <w:r w:rsidRPr="008A3A63">
        <w:rPr>
          <w:i/>
          <w:sz w:val="24"/>
          <w:szCs w:val="24"/>
        </w:rPr>
        <w:t xml:space="preserve">Ecclesiastical History: </w:t>
      </w:r>
      <w:r w:rsidRPr="008A3A63">
        <w:rPr>
          <w:i/>
          <w:iCs/>
          <w:sz w:val="24"/>
          <w:szCs w:val="24"/>
        </w:rPr>
        <w:t>A History of the Church in Five Books</w:t>
      </w:r>
      <w:r w:rsidRPr="008A3A63">
        <w:rPr>
          <w:sz w:val="24"/>
          <w:szCs w:val="24"/>
        </w:rPr>
        <w:t xml:space="preserve">. London: Samuel </w:t>
      </w:r>
      <w:proofErr w:type="spellStart"/>
      <w:r w:rsidRPr="008A3A63">
        <w:rPr>
          <w:sz w:val="24"/>
          <w:szCs w:val="24"/>
        </w:rPr>
        <w:t>Bagster</w:t>
      </w:r>
      <w:proofErr w:type="spellEnd"/>
      <w:r w:rsidRPr="008A3A63">
        <w:rPr>
          <w:sz w:val="24"/>
          <w:szCs w:val="24"/>
        </w:rPr>
        <w:t xml:space="preserve"> and Sons, 1843. Logos eBook.</w:t>
      </w:r>
    </w:p>
    <w:p w14:paraId="08098318" w14:textId="0B7BF829" w:rsidR="00BF6480" w:rsidRPr="008A3A63" w:rsidRDefault="005523EC" w:rsidP="005523EC">
      <w:pPr>
        <w:pStyle w:val="NoSpacing"/>
        <w:ind w:firstLine="0"/>
        <w:rPr>
          <w:sz w:val="24"/>
          <w:szCs w:val="24"/>
        </w:rPr>
      </w:pPr>
      <w:r w:rsidRPr="008A3A63">
        <w:rPr>
          <w:sz w:val="24"/>
          <w:szCs w:val="24"/>
        </w:rPr>
        <w:t xml:space="preserve">References to ancient works </w:t>
      </w:r>
      <w:r w:rsidR="00CE466D" w:rsidRPr="008A3A63">
        <w:rPr>
          <w:sz w:val="24"/>
          <w:szCs w:val="24"/>
        </w:rPr>
        <w:t xml:space="preserve">in footnotes </w:t>
      </w:r>
      <w:r w:rsidRPr="008A3A63">
        <w:rPr>
          <w:sz w:val="24"/>
          <w:szCs w:val="24"/>
        </w:rPr>
        <w:t xml:space="preserve">are to standard </w:t>
      </w:r>
      <w:proofErr w:type="spellStart"/>
      <w:proofErr w:type="gramStart"/>
      <w:r w:rsidRPr="008A3A63">
        <w:rPr>
          <w:sz w:val="24"/>
          <w:szCs w:val="24"/>
        </w:rPr>
        <w:t>Bk.Chpt</w:t>
      </w:r>
      <w:proofErr w:type="spellEnd"/>
      <w:proofErr w:type="gramEnd"/>
      <w:r w:rsidRPr="008A3A63">
        <w:rPr>
          <w:sz w:val="24"/>
          <w:szCs w:val="24"/>
        </w:rPr>
        <w:t xml:space="preserve"> or </w:t>
      </w:r>
      <w:r w:rsidRPr="008A3A63">
        <w:rPr>
          <w:sz w:val="28"/>
          <w:szCs w:val="24"/>
        </w:rPr>
        <w:t>§</w:t>
      </w:r>
      <w:r w:rsidRPr="008A3A63">
        <w:rPr>
          <w:sz w:val="24"/>
          <w:szCs w:val="24"/>
        </w:rPr>
        <w:t xml:space="preserve"> numbers, not publication page numbers.</w:t>
      </w:r>
    </w:p>
    <w:sectPr w:rsidR="00BF6480" w:rsidRPr="008A3A63" w:rsidSect="00D51817">
      <w:headerReference w:type="default" r:id="rId10"/>
      <w:footerReference w:type="default" r:id="rId11"/>
      <w:endnotePr>
        <w:numFmt w:val="decimal"/>
      </w:endnotePr>
      <w:pgSz w:w="12240" w:h="15840"/>
      <w:pgMar w:top="1584" w:right="1368"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8410" w14:textId="77777777" w:rsidR="00A65137" w:rsidRDefault="00A65137" w:rsidP="00136D66">
      <w:pPr>
        <w:spacing w:after="0" w:line="240" w:lineRule="auto"/>
      </w:pPr>
      <w:r>
        <w:separator/>
      </w:r>
    </w:p>
  </w:endnote>
  <w:endnote w:type="continuationSeparator" w:id="0">
    <w:p w14:paraId="7A84563B" w14:textId="77777777" w:rsidR="00A65137" w:rsidRDefault="00A65137" w:rsidP="0013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F4CF" w14:textId="5DBF48C1" w:rsidR="00FF4BDE" w:rsidRDefault="00792E54" w:rsidP="007F7FAB">
    <w:pPr>
      <w:pStyle w:val="Footer"/>
    </w:pPr>
    <w:r>
      <w:rPr>
        <w:color w:val="7F7F7F" w:themeColor="background1" w:themeShade="7F"/>
        <w:spacing w:val="60"/>
      </w:rPr>
      <w:t>John W. Gillis</w:t>
    </w:r>
    <w:r w:rsidR="00ED1A09" w:rsidRPr="00ED1A09">
      <w:rPr>
        <w:color w:val="7F7F7F" w:themeColor="background1" w:themeShade="7F"/>
        <w:spacing w:val="60"/>
      </w:rPr>
      <w:ptab w:relativeTo="margin" w:alignment="center" w:leader="none"/>
    </w:r>
    <w:r w:rsidR="00ED1A09" w:rsidRPr="00ED1A09">
      <w:rPr>
        <w:color w:val="7F7F7F" w:themeColor="background1" w:themeShade="7F"/>
        <w:spacing w:val="60"/>
      </w:rPr>
      <w:ptab w:relativeTo="margin" w:alignment="right" w:leader="none"/>
    </w:r>
    <w:r w:rsidRPr="00792E54">
      <w:rPr>
        <w:color w:val="7F7F7F" w:themeColor="background1" w:themeShade="7F"/>
        <w:spacing w:val="60"/>
      </w:rPr>
      <w:t xml:space="preserve">Page </w:t>
    </w:r>
    <w:r w:rsidRPr="00792E54">
      <w:rPr>
        <w:b/>
        <w:bCs/>
        <w:color w:val="7F7F7F" w:themeColor="background1" w:themeShade="7F"/>
        <w:spacing w:val="60"/>
      </w:rPr>
      <w:fldChar w:fldCharType="begin"/>
    </w:r>
    <w:r w:rsidRPr="00792E54">
      <w:rPr>
        <w:b/>
        <w:bCs/>
        <w:color w:val="7F7F7F" w:themeColor="background1" w:themeShade="7F"/>
        <w:spacing w:val="60"/>
      </w:rPr>
      <w:instrText xml:space="preserve"> PAGE  \* Arabic  \* MERGEFORMAT </w:instrText>
    </w:r>
    <w:r w:rsidRPr="00792E54">
      <w:rPr>
        <w:b/>
        <w:bCs/>
        <w:color w:val="7F7F7F" w:themeColor="background1" w:themeShade="7F"/>
        <w:spacing w:val="60"/>
      </w:rPr>
      <w:fldChar w:fldCharType="separate"/>
    </w:r>
    <w:r w:rsidRPr="00792E54">
      <w:rPr>
        <w:b/>
        <w:bCs/>
        <w:noProof/>
        <w:color w:val="7F7F7F" w:themeColor="background1" w:themeShade="7F"/>
        <w:spacing w:val="60"/>
      </w:rPr>
      <w:t>1</w:t>
    </w:r>
    <w:r w:rsidRPr="00792E54">
      <w:rPr>
        <w:b/>
        <w:bCs/>
        <w:color w:val="7F7F7F" w:themeColor="background1" w:themeShade="7F"/>
        <w:spacing w:val="60"/>
      </w:rPr>
      <w:fldChar w:fldCharType="end"/>
    </w:r>
    <w:r w:rsidRPr="00792E54">
      <w:rPr>
        <w:color w:val="7F7F7F" w:themeColor="background1" w:themeShade="7F"/>
        <w:spacing w:val="60"/>
      </w:rPr>
      <w:t xml:space="preserve"> of </w:t>
    </w:r>
    <w:r w:rsidRPr="00792E54">
      <w:rPr>
        <w:b/>
        <w:bCs/>
        <w:color w:val="7F7F7F" w:themeColor="background1" w:themeShade="7F"/>
        <w:spacing w:val="60"/>
      </w:rPr>
      <w:fldChar w:fldCharType="begin"/>
    </w:r>
    <w:r w:rsidRPr="00792E54">
      <w:rPr>
        <w:b/>
        <w:bCs/>
        <w:color w:val="7F7F7F" w:themeColor="background1" w:themeShade="7F"/>
        <w:spacing w:val="60"/>
      </w:rPr>
      <w:instrText xml:space="preserve"> NUMPAGES  \* Arabic  \* MERGEFORMAT </w:instrText>
    </w:r>
    <w:r w:rsidRPr="00792E54">
      <w:rPr>
        <w:b/>
        <w:bCs/>
        <w:color w:val="7F7F7F" w:themeColor="background1" w:themeShade="7F"/>
        <w:spacing w:val="60"/>
      </w:rPr>
      <w:fldChar w:fldCharType="separate"/>
    </w:r>
    <w:r w:rsidRPr="00792E54">
      <w:rPr>
        <w:b/>
        <w:bCs/>
        <w:noProof/>
        <w:color w:val="7F7F7F" w:themeColor="background1" w:themeShade="7F"/>
        <w:spacing w:val="60"/>
      </w:rPr>
      <w:t>2</w:t>
    </w:r>
    <w:r w:rsidRPr="00792E54">
      <w:rPr>
        <w:b/>
        <w:bCs/>
        <w:color w:val="7F7F7F" w:themeColor="background1" w:themeShade="7F"/>
        <w:spacing w:val="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9DAC4" w14:textId="77777777" w:rsidR="00E62D65" w:rsidRDefault="00E62D65" w:rsidP="007F7FAB">
    <w:pPr>
      <w:pStyle w:val="Footer"/>
    </w:pPr>
    <w:r>
      <w:rPr>
        <w:color w:val="7F7F7F" w:themeColor="background1" w:themeShade="7F"/>
        <w:spacing w:val="60"/>
      </w:rPr>
      <w:t>John W. Gillis</w:t>
    </w:r>
    <w:r w:rsidRPr="00ED1A09">
      <w:rPr>
        <w:color w:val="7F7F7F" w:themeColor="background1" w:themeShade="7F"/>
        <w:spacing w:val="60"/>
      </w:rPr>
      <w:ptab w:relativeTo="margin" w:alignment="center" w:leader="none"/>
    </w:r>
    <w:r w:rsidRPr="00ED1A09">
      <w:rPr>
        <w:color w:val="7F7F7F" w:themeColor="background1" w:themeShade="7F"/>
        <w:spacing w:val="60"/>
      </w:rPr>
      <w:ptab w:relativeTo="margin" w:alignment="right" w:leader="none"/>
    </w:r>
    <w:r w:rsidRPr="00792E54">
      <w:rPr>
        <w:color w:val="7F7F7F" w:themeColor="background1" w:themeShade="7F"/>
        <w:spacing w:val="60"/>
      </w:rPr>
      <w:t xml:space="preserve">Page </w:t>
    </w:r>
    <w:r w:rsidRPr="00792E54">
      <w:rPr>
        <w:b/>
        <w:bCs/>
        <w:color w:val="7F7F7F" w:themeColor="background1" w:themeShade="7F"/>
        <w:spacing w:val="60"/>
      </w:rPr>
      <w:fldChar w:fldCharType="begin"/>
    </w:r>
    <w:r w:rsidRPr="00792E54">
      <w:rPr>
        <w:b/>
        <w:bCs/>
        <w:color w:val="7F7F7F" w:themeColor="background1" w:themeShade="7F"/>
        <w:spacing w:val="60"/>
      </w:rPr>
      <w:instrText xml:space="preserve"> PAGE  \* Arabic  \* MERGEFORMAT </w:instrText>
    </w:r>
    <w:r w:rsidRPr="00792E54">
      <w:rPr>
        <w:b/>
        <w:bCs/>
        <w:color w:val="7F7F7F" w:themeColor="background1" w:themeShade="7F"/>
        <w:spacing w:val="60"/>
      </w:rPr>
      <w:fldChar w:fldCharType="separate"/>
    </w:r>
    <w:r w:rsidRPr="00792E54">
      <w:rPr>
        <w:b/>
        <w:bCs/>
        <w:noProof/>
        <w:color w:val="7F7F7F" w:themeColor="background1" w:themeShade="7F"/>
        <w:spacing w:val="60"/>
      </w:rPr>
      <w:t>1</w:t>
    </w:r>
    <w:r w:rsidRPr="00792E54">
      <w:rPr>
        <w:b/>
        <w:bCs/>
        <w:color w:val="7F7F7F" w:themeColor="background1" w:themeShade="7F"/>
        <w:spacing w:val="60"/>
      </w:rPr>
      <w:fldChar w:fldCharType="end"/>
    </w:r>
    <w:r w:rsidRPr="00792E54">
      <w:rPr>
        <w:color w:val="7F7F7F" w:themeColor="background1" w:themeShade="7F"/>
        <w:spacing w:val="60"/>
      </w:rPr>
      <w:t xml:space="preserve"> of </w:t>
    </w:r>
    <w:r w:rsidRPr="00792E54">
      <w:rPr>
        <w:b/>
        <w:bCs/>
        <w:color w:val="7F7F7F" w:themeColor="background1" w:themeShade="7F"/>
        <w:spacing w:val="60"/>
      </w:rPr>
      <w:fldChar w:fldCharType="begin"/>
    </w:r>
    <w:r w:rsidRPr="00792E54">
      <w:rPr>
        <w:b/>
        <w:bCs/>
        <w:color w:val="7F7F7F" w:themeColor="background1" w:themeShade="7F"/>
        <w:spacing w:val="60"/>
      </w:rPr>
      <w:instrText xml:space="preserve"> NUMPAGES  \* Arabic  \* MERGEFORMAT </w:instrText>
    </w:r>
    <w:r w:rsidRPr="00792E54">
      <w:rPr>
        <w:b/>
        <w:bCs/>
        <w:color w:val="7F7F7F" w:themeColor="background1" w:themeShade="7F"/>
        <w:spacing w:val="60"/>
      </w:rPr>
      <w:fldChar w:fldCharType="separate"/>
    </w:r>
    <w:r w:rsidRPr="00792E54">
      <w:rPr>
        <w:b/>
        <w:bCs/>
        <w:noProof/>
        <w:color w:val="7F7F7F" w:themeColor="background1" w:themeShade="7F"/>
        <w:spacing w:val="60"/>
      </w:rPr>
      <w:t>2</w:t>
    </w:r>
    <w:r w:rsidRPr="00792E54">
      <w:rPr>
        <w:b/>
        <w:bCs/>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C416" w14:textId="77777777" w:rsidR="00A65137" w:rsidRDefault="00A65137" w:rsidP="00136D66">
      <w:pPr>
        <w:spacing w:after="0" w:line="240" w:lineRule="auto"/>
      </w:pPr>
      <w:r>
        <w:separator/>
      </w:r>
    </w:p>
  </w:footnote>
  <w:footnote w:type="continuationSeparator" w:id="0">
    <w:p w14:paraId="757220BD" w14:textId="77777777" w:rsidR="00A65137" w:rsidRDefault="00A65137" w:rsidP="00136D66">
      <w:pPr>
        <w:spacing w:after="0" w:line="240" w:lineRule="auto"/>
      </w:pPr>
      <w:r>
        <w:continuationSeparator/>
      </w:r>
    </w:p>
  </w:footnote>
  <w:footnote w:id="1">
    <w:p w14:paraId="08098323" w14:textId="6A83A948" w:rsidR="00D319A9" w:rsidRDefault="00D319A9">
      <w:pPr>
        <w:pStyle w:val="FootnoteText"/>
      </w:pPr>
      <w:r>
        <w:rPr>
          <w:rStyle w:val="FootnoteReference"/>
        </w:rPr>
        <w:footnoteRef/>
      </w:r>
      <w:r>
        <w:t xml:space="preserve"> </w:t>
      </w:r>
      <w:r w:rsidRPr="00D34EEA">
        <w:t>Frankfurter</w:t>
      </w:r>
      <w:r>
        <w:t>,</w:t>
      </w:r>
      <w:r w:rsidRPr="00D34EEA">
        <w:t xml:space="preserve"> 26</w:t>
      </w:r>
      <w:r w:rsidR="005B668B">
        <w:t xml:space="preserve"> (see Bibliography for</w:t>
      </w:r>
      <w:r w:rsidR="00815A3E">
        <w:t xml:space="preserve"> full </w:t>
      </w:r>
      <w:r w:rsidR="00E0135C">
        <w:t>publication</w:t>
      </w:r>
      <w:r w:rsidR="00E63B80">
        <w:t xml:space="preserve"> </w:t>
      </w:r>
      <w:r w:rsidR="00E0135C">
        <w:t>information)</w:t>
      </w:r>
    </w:p>
  </w:footnote>
  <w:footnote w:id="2">
    <w:p w14:paraId="08098324" w14:textId="77777777" w:rsidR="00D319A9" w:rsidRDefault="00D319A9">
      <w:pPr>
        <w:pStyle w:val="FootnoteText"/>
      </w:pPr>
      <w:r>
        <w:rPr>
          <w:rStyle w:val="FootnoteReference"/>
        </w:rPr>
        <w:footnoteRef/>
      </w:r>
      <w:r>
        <w:t xml:space="preserve"> </w:t>
      </w:r>
      <w:r w:rsidRPr="001C0E46">
        <w:rPr>
          <w:i/>
        </w:rPr>
        <w:t>Ibid.</w:t>
      </w:r>
    </w:p>
  </w:footnote>
  <w:footnote w:id="3">
    <w:p w14:paraId="08098325" w14:textId="77777777" w:rsidR="00D319A9" w:rsidRDefault="00D319A9">
      <w:pPr>
        <w:pStyle w:val="FootnoteText"/>
      </w:pPr>
      <w:r>
        <w:rPr>
          <w:rStyle w:val="FootnoteReference"/>
        </w:rPr>
        <w:footnoteRef/>
      </w:r>
      <w:r>
        <w:t xml:space="preserve"> </w:t>
      </w:r>
      <w:r w:rsidRPr="001C0E46">
        <w:rPr>
          <w:i/>
        </w:rPr>
        <w:t>Ibid.</w:t>
      </w:r>
      <w:r>
        <w:t>,</w:t>
      </w:r>
      <w:r w:rsidRPr="00D34EEA">
        <w:t xml:space="preserve"> 26</w:t>
      </w:r>
      <w:r w:rsidRPr="009635F4">
        <w:rPr>
          <w:i/>
        </w:rPr>
        <w:t>f</w:t>
      </w:r>
    </w:p>
  </w:footnote>
  <w:footnote w:id="4">
    <w:p w14:paraId="08098326" w14:textId="77777777" w:rsidR="00D319A9" w:rsidRDefault="00D319A9">
      <w:pPr>
        <w:pStyle w:val="FootnoteText"/>
      </w:pPr>
      <w:r>
        <w:rPr>
          <w:rStyle w:val="FootnoteReference"/>
        </w:rPr>
        <w:footnoteRef/>
      </w:r>
      <w:r>
        <w:t xml:space="preserve"> Eusebius, 11</w:t>
      </w:r>
    </w:p>
  </w:footnote>
  <w:footnote w:id="5">
    <w:p w14:paraId="08098327" w14:textId="77777777" w:rsidR="00D319A9" w:rsidRDefault="00D319A9">
      <w:pPr>
        <w:pStyle w:val="FootnoteText"/>
      </w:pPr>
      <w:r>
        <w:rPr>
          <w:rStyle w:val="FootnoteReference"/>
        </w:rPr>
        <w:footnoteRef/>
      </w:r>
      <w:r>
        <w:t xml:space="preserve"> </w:t>
      </w:r>
      <w:r w:rsidRPr="00546E84">
        <w:t>Telfer</w:t>
      </w:r>
      <w:r>
        <w:t>,</w:t>
      </w:r>
      <w:r w:rsidRPr="00546E84">
        <w:t xml:space="preserve"> 228</w:t>
      </w:r>
    </w:p>
  </w:footnote>
  <w:footnote w:id="6">
    <w:p w14:paraId="08098328" w14:textId="77777777" w:rsidR="00D319A9" w:rsidRDefault="00D319A9">
      <w:pPr>
        <w:pStyle w:val="FootnoteText"/>
      </w:pPr>
      <w:r>
        <w:rPr>
          <w:rStyle w:val="FootnoteReference"/>
        </w:rPr>
        <w:footnoteRef/>
      </w:r>
      <w:r>
        <w:t xml:space="preserve"> </w:t>
      </w:r>
      <w:r w:rsidRPr="00546E84">
        <w:t>Hefele</w:t>
      </w:r>
      <w:r>
        <w:t>,</w:t>
      </w:r>
      <w:r w:rsidRPr="00546E84">
        <w:t xml:space="preserve"> 1.342</w:t>
      </w:r>
    </w:p>
  </w:footnote>
  <w:footnote w:id="7">
    <w:p w14:paraId="08098329" w14:textId="77777777" w:rsidR="00D319A9" w:rsidRDefault="00D319A9">
      <w:pPr>
        <w:pStyle w:val="FootnoteText"/>
      </w:pPr>
      <w:r>
        <w:rPr>
          <w:rStyle w:val="FootnoteReference"/>
        </w:rPr>
        <w:footnoteRef/>
      </w:r>
      <w:r>
        <w:t xml:space="preserve"> </w:t>
      </w:r>
      <w:r w:rsidRPr="001C0E46">
        <w:rPr>
          <w:i/>
        </w:rPr>
        <w:t>Ibid.</w:t>
      </w:r>
      <w:r>
        <w:rPr>
          <w:i/>
        </w:rPr>
        <w:t xml:space="preserve">, </w:t>
      </w:r>
      <w:r w:rsidRPr="00546E84">
        <w:t>1.341</w:t>
      </w:r>
    </w:p>
  </w:footnote>
  <w:footnote w:id="8">
    <w:p w14:paraId="0809832A" w14:textId="77777777" w:rsidR="00D319A9" w:rsidRDefault="00D319A9">
      <w:pPr>
        <w:pStyle w:val="FootnoteText"/>
      </w:pPr>
      <w:r>
        <w:rPr>
          <w:rStyle w:val="FootnoteReference"/>
        </w:rPr>
        <w:footnoteRef/>
      </w:r>
      <w:r>
        <w:t xml:space="preserve"> </w:t>
      </w:r>
      <w:r w:rsidRPr="001C0E46">
        <w:rPr>
          <w:i/>
        </w:rPr>
        <w:t>Ibid.</w:t>
      </w:r>
      <w:r>
        <w:rPr>
          <w:i/>
        </w:rPr>
        <w:t xml:space="preserve">, </w:t>
      </w:r>
      <w:r>
        <w:t>1.</w:t>
      </w:r>
      <w:r w:rsidRPr="00546E84">
        <w:t>342</w:t>
      </w:r>
    </w:p>
  </w:footnote>
  <w:footnote w:id="9">
    <w:p w14:paraId="0809832B" w14:textId="77777777" w:rsidR="00D319A9" w:rsidRDefault="00D319A9">
      <w:pPr>
        <w:pStyle w:val="FootnoteText"/>
      </w:pPr>
      <w:r>
        <w:rPr>
          <w:rStyle w:val="FootnoteReference"/>
        </w:rPr>
        <w:footnoteRef/>
      </w:r>
      <w:r>
        <w:t xml:space="preserve"> </w:t>
      </w:r>
      <w:r w:rsidRPr="00546E84">
        <w:t>Telfer</w:t>
      </w:r>
      <w:r>
        <w:t>,</w:t>
      </w:r>
      <w:r w:rsidRPr="00546E84">
        <w:t xml:space="preserve"> 228</w:t>
      </w:r>
    </w:p>
  </w:footnote>
  <w:footnote w:id="10">
    <w:p w14:paraId="0809832C" w14:textId="77777777" w:rsidR="00D319A9" w:rsidRDefault="00D319A9">
      <w:pPr>
        <w:pStyle w:val="FootnoteText"/>
      </w:pPr>
      <w:r>
        <w:rPr>
          <w:rStyle w:val="FootnoteReference"/>
        </w:rPr>
        <w:footnoteRef/>
      </w:r>
      <w:r>
        <w:t xml:space="preserve"> Hefele, 1.</w:t>
      </w:r>
      <w:r w:rsidRPr="00546E84">
        <w:t>343</w:t>
      </w:r>
    </w:p>
  </w:footnote>
  <w:footnote w:id="11">
    <w:p w14:paraId="0809832D" w14:textId="77777777" w:rsidR="00D319A9" w:rsidRDefault="00D319A9">
      <w:pPr>
        <w:pStyle w:val="FootnoteText"/>
      </w:pPr>
      <w:r>
        <w:rPr>
          <w:rStyle w:val="FootnoteReference"/>
        </w:rPr>
        <w:footnoteRef/>
      </w:r>
      <w:r>
        <w:t xml:space="preserve"> </w:t>
      </w:r>
      <w:r w:rsidRPr="001C0E46">
        <w:rPr>
          <w:i/>
        </w:rPr>
        <w:t>Ibid.</w:t>
      </w:r>
    </w:p>
  </w:footnote>
  <w:footnote w:id="12">
    <w:p w14:paraId="0809832E" w14:textId="77777777" w:rsidR="00D319A9" w:rsidRDefault="00D319A9">
      <w:pPr>
        <w:pStyle w:val="FootnoteText"/>
      </w:pPr>
      <w:r>
        <w:rPr>
          <w:rStyle w:val="FootnoteReference"/>
        </w:rPr>
        <w:footnoteRef/>
      </w:r>
      <w:r>
        <w:t xml:space="preserve"> Athanasius, </w:t>
      </w:r>
      <w:r>
        <w:rPr>
          <w:i/>
        </w:rPr>
        <w:t>To the Bishops of Egypt,</w:t>
      </w:r>
      <w:r w:rsidRPr="00546E84">
        <w:t xml:space="preserve"> 22</w:t>
      </w:r>
    </w:p>
  </w:footnote>
  <w:footnote w:id="13">
    <w:p w14:paraId="0809832F" w14:textId="77777777" w:rsidR="00D319A9" w:rsidRDefault="00D319A9">
      <w:pPr>
        <w:pStyle w:val="FootnoteText"/>
      </w:pPr>
      <w:r>
        <w:rPr>
          <w:rStyle w:val="FootnoteReference"/>
        </w:rPr>
        <w:footnoteRef/>
      </w:r>
      <w:r>
        <w:t xml:space="preserve"> </w:t>
      </w:r>
      <w:r w:rsidRPr="00546E84">
        <w:t>H</w:t>
      </w:r>
      <w:r>
        <w:t>efele, 1.</w:t>
      </w:r>
      <w:r w:rsidRPr="00546E84">
        <w:t>130, 346</w:t>
      </w:r>
      <w:r w:rsidRPr="009635F4">
        <w:rPr>
          <w:i/>
        </w:rPr>
        <w:t>f</w:t>
      </w:r>
    </w:p>
  </w:footnote>
  <w:footnote w:id="14">
    <w:p w14:paraId="08098330" w14:textId="77777777" w:rsidR="00D319A9" w:rsidRDefault="00D319A9">
      <w:pPr>
        <w:pStyle w:val="FootnoteText"/>
      </w:pPr>
      <w:r>
        <w:rPr>
          <w:rStyle w:val="FootnoteReference"/>
        </w:rPr>
        <w:footnoteRef/>
      </w:r>
      <w:r>
        <w:t xml:space="preserve"> Athanasius, </w:t>
      </w:r>
      <w:r>
        <w:rPr>
          <w:i/>
        </w:rPr>
        <w:t>Defense Against the Arians,</w:t>
      </w:r>
      <w:r w:rsidRPr="00546E84">
        <w:rPr>
          <w:i/>
        </w:rPr>
        <w:t xml:space="preserve"> 59</w:t>
      </w:r>
    </w:p>
  </w:footnote>
  <w:footnote w:id="15">
    <w:p w14:paraId="08098331" w14:textId="77777777" w:rsidR="00D319A9" w:rsidRDefault="00D319A9">
      <w:pPr>
        <w:pStyle w:val="FootnoteText"/>
      </w:pPr>
      <w:r>
        <w:rPr>
          <w:rStyle w:val="FootnoteReference"/>
        </w:rPr>
        <w:footnoteRef/>
      </w:r>
      <w:r>
        <w:t xml:space="preserve"> </w:t>
      </w:r>
      <w:r w:rsidRPr="00546E84">
        <w:t>Telfer</w:t>
      </w:r>
      <w:r>
        <w:t>,</w:t>
      </w:r>
      <w:r w:rsidRPr="00546E84">
        <w:t xml:space="preserve"> 230</w:t>
      </w:r>
    </w:p>
  </w:footnote>
  <w:footnote w:id="16">
    <w:p w14:paraId="08098332" w14:textId="77777777" w:rsidR="00D319A9" w:rsidRDefault="00D319A9">
      <w:pPr>
        <w:pStyle w:val="FootnoteText"/>
      </w:pPr>
      <w:r>
        <w:rPr>
          <w:rStyle w:val="FootnoteReference"/>
        </w:rPr>
        <w:footnoteRef/>
      </w:r>
      <w:r>
        <w:t xml:space="preserve"> Athanasius, </w:t>
      </w:r>
      <w:r>
        <w:rPr>
          <w:i/>
        </w:rPr>
        <w:t>Defense Against the Arians,</w:t>
      </w:r>
      <w:r w:rsidRPr="00546E84">
        <w:rPr>
          <w:i/>
        </w:rPr>
        <w:t xml:space="preserve"> 59</w:t>
      </w:r>
    </w:p>
  </w:footnote>
  <w:footnote w:id="17">
    <w:p w14:paraId="08098333" w14:textId="77777777" w:rsidR="00D319A9" w:rsidRDefault="00D319A9">
      <w:pPr>
        <w:pStyle w:val="FootnoteText"/>
      </w:pPr>
      <w:r>
        <w:rPr>
          <w:rStyle w:val="FootnoteReference"/>
        </w:rPr>
        <w:footnoteRef/>
      </w:r>
      <w:r>
        <w:t xml:space="preserve"> </w:t>
      </w:r>
      <w:r w:rsidRPr="00536DAF">
        <w:t>Telfer</w:t>
      </w:r>
      <w:r>
        <w:t>, 229</w:t>
      </w:r>
    </w:p>
  </w:footnote>
  <w:footnote w:id="18">
    <w:p w14:paraId="08098334" w14:textId="77777777" w:rsidR="00D319A9" w:rsidRDefault="00D319A9">
      <w:pPr>
        <w:pStyle w:val="FootnoteText"/>
      </w:pPr>
      <w:r>
        <w:rPr>
          <w:rStyle w:val="FootnoteReference"/>
        </w:rPr>
        <w:footnoteRef/>
      </w:r>
      <w:r>
        <w:t xml:space="preserve"> Hefele, 1.130</w:t>
      </w:r>
    </w:p>
  </w:footnote>
  <w:footnote w:id="19">
    <w:p w14:paraId="08098335" w14:textId="77777777" w:rsidR="00D319A9" w:rsidRDefault="00D319A9">
      <w:pPr>
        <w:pStyle w:val="FootnoteText"/>
      </w:pPr>
      <w:r>
        <w:rPr>
          <w:rStyle w:val="FootnoteReference"/>
        </w:rPr>
        <w:footnoteRef/>
      </w:r>
      <w:r>
        <w:t xml:space="preserve"> </w:t>
      </w:r>
      <w:r w:rsidRPr="00536DAF">
        <w:t>Telfer</w:t>
      </w:r>
      <w:r>
        <w:t>,</w:t>
      </w:r>
      <w:r w:rsidRPr="00536DAF">
        <w:t xml:space="preserve"> 230</w:t>
      </w:r>
    </w:p>
  </w:footnote>
  <w:footnote w:id="20">
    <w:p w14:paraId="08098336" w14:textId="77777777" w:rsidR="00D319A9" w:rsidRDefault="00D319A9">
      <w:pPr>
        <w:pStyle w:val="FootnoteText"/>
      </w:pPr>
      <w:r>
        <w:rPr>
          <w:rStyle w:val="FootnoteReference"/>
        </w:rPr>
        <w:footnoteRef/>
      </w:r>
      <w:r>
        <w:t xml:space="preserve"> </w:t>
      </w:r>
      <w:r w:rsidRPr="00536DAF">
        <w:t>Hefele</w:t>
      </w:r>
      <w:r>
        <w:t>,</w:t>
      </w:r>
      <w:r w:rsidRPr="00536DAF">
        <w:t xml:space="preserve"> 1.349</w:t>
      </w:r>
    </w:p>
  </w:footnote>
  <w:footnote w:id="21">
    <w:p w14:paraId="08098337" w14:textId="77777777" w:rsidR="00D319A9" w:rsidRDefault="00D319A9">
      <w:pPr>
        <w:pStyle w:val="FootnoteText"/>
      </w:pPr>
      <w:r>
        <w:rPr>
          <w:rStyle w:val="FootnoteReference"/>
        </w:rPr>
        <w:footnoteRef/>
      </w:r>
      <w:r>
        <w:t xml:space="preserve"> Sozomen, 1.15</w:t>
      </w:r>
    </w:p>
  </w:footnote>
  <w:footnote w:id="22">
    <w:p w14:paraId="08098338" w14:textId="77777777" w:rsidR="00D319A9" w:rsidRDefault="00D319A9">
      <w:pPr>
        <w:pStyle w:val="FootnoteText"/>
      </w:pPr>
      <w:r>
        <w:rPr>
          <w:rStyle w:val="FootnoteReference"/>
        </w:rPr>
        <w:footnoteRef/>
      </w:r>
      <w:r>
        <w:t xml:space="preserve"> </w:t>
      </w:r>
      <w:r w:rsidRPr="00536DAF">
        <w:t>Telfer</w:t>
      </w:r>
      <w:r>
        <w:t>,</w:t>
      </w:r>
      <w:r w:rsidRPr="00536DAF">
        <w:t xml:space="preserve"> 230</w:t>
      </w:r>
      <w:r w:rsidRPr="009635F4">
        <w:rPr>
          <w:i/>
        </w:rPr>
        <w:t>f</w:t>
      </w:r>
    </w:p>
  </w:footnote>
  <w:footnote w:id="23">
    <w:p w14:paraId="08098339"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536DAF">
        <w:t xml:space="preserve"> 231</w:t>
      </w:r>
      <w:proofErr w:type="gramEnd"/>
    </w:p>
  </w:footnote>
  <w:footnote w:id="24">
    <w:p w14:paraId="0809833A" w14:textId="77777777" w:rsidR="00D319A9" w:rsidRDefault="00D319A9">
      <w:pPr>
        <w:pStyle w:val="FootnoteText"/>
      </w:pPr>
      <w:r>
        <w:rPr>
          <w:rStyle w:val="FootnoteReference"/>
        </w:rPr>
        <w:footnoteRef/>
      </w:r>
      <w:r>
        <w:t xml:space="preserve"> Stevenson,</w:t>
      </w:r>
      <w:r w:rsidRPr="00536DAF">
        <w:t xml:space="preserve"> 281</w:t>
      </w:r>
    </w:p>
  </w:footnote>
  <w:footnote w:id="25">
    <w:p w14:paraId="0809833B" w14:textId="77777777" w:rsidR="00D319A9" w:rsidRDefault="00D319A9">
      <w:pPr>
        <w:pStyle w:val="FootnoteText"/>
      </w:pPr>
      <w:r>
        <w:rPr>
          <w:rStyle w:val="FootnoteReference"/>
        </w:rPr>
        <w:footnoteRef/>
      </w:r>
      <w:r>
        <w:t xml:space="preserve"> Athanasius, </w:t>
      </w:r>
      <w:r>
        <w:rPr>
          <w:i/>
        </w:rPr>
        <w:t>Defense Against the Arians,</w:t>
      </w:r>
      <w:r w:rsidRPr="00536DAF">
        <w:t xml:space="preserve"> 59</w:t>
      </w:r>
    </w:p>
  </w:footnote>
  <w:footnote w:id="26">
    <w:p w14:paraId="0809833C" w14:textId="77777777" w:rsidR="00D319A9" w:rsidRDefault="00D319A9">
      <w:pPr>
        <w:pStyle w:val="FootnoteText"/>
      </w:pPr>
      <w:r>
        <w:rPr>
          <w:rStyle w:val="FootnoteReference"/>
        </w:rPr>
        <w:footnoteRef/>
      </w:r>
      <w:r>
        <w:t xml:space="preserve"> </w:t>
      </w:r>
      <w:r w:rsidRPr="00536DAF">
        <w:t>H</w:t>
      </w:r>
      <w:r>
        <w:t>efele,</w:t>
      </w:r>
      <w:r w:rsidRPr="00536DAF">
        <w:t xml:space="preserve"> 2.10</w:t>
      </w:r>
    </w:p>
  </w:footnote>
  <w:footnote w:id="27">
    <w:p w14:paraId="0809833D" w14:textId="77777777" w:rsidR="00D319A9" w:rsidRDefault="00D319A9">
      <w:pPr>
        <w:pStyle w:val="FootnoteText"/>
      </w:pPr>
      <w:r>
        <w:rPr>
          <w:rStyle w:val="FootnoteReference"/>
        </w:rPr>
        <w:footnoteRef/>
      </w:r>
      <w:r>
        <w:t xml:space="preserve"> Athanasius, </w:t>
      </w:r>
      <w:r>
        <w:rPr>
          <w:i/>
        </w:rPr>
        <w:t>Defense Against the Arians,</w:t>
      </w:r>
      <w:r w:rsidRPr="00536DAF">
        <w:rPr>
          <w:i/>
        </w:rPr>
        <w:t xml:space="preserve"> </w:t>
      </w:r>
      <w:r w:rsidRPr="00536DAF">
        <w:t>71</w:t>
      </w:r>
    </w:p>
  </w:footnote>
  <w:footnote w:id="28">
    <w:p w14:paraId="0809833E" w14:textId="77777777" w:rsidR="00D319A9" w:rsidRDefault="00D319A9">
      <w:pPr>
        <w:pStyle w:val="FootnoteText"/>
      </w:pPr>
      <w:r>
        <w:rPr>
          <w:rStyle w:val="FootnoteReference"/>
        </w:rPr>
        <w:footnoteRef/>
      </w:r>
      <w:r>
        <w:t xml:space="preserve"> </w:t>
      </w:r>
      <w:r w:rsidRPr="00536DAF">
        <w:t>Hefele</w:t>
      </w:r>
      <w:r>
        <w:t>,</w:t>
      </w:r>
      <w:r w:rsidRPr="00536DAF">
        <w:t xml:space="preserve"> </w:t>
      </w:r>
      <w:r>
        <w:t>1.</w:t>
      </w:r>
      <w:r w:rsidRPr="00536DAF">
        <w:t>352</w:t>
      </w:r>
    </w:p>
  </w:footnote>
  <w:footnote w:id="29">
    <w:p w14:paraId="0809833F" w14:textId="77777777" w:rsidR="00D319A9" w:rsidRDefault="00D319A9">
      <w:pPr>
        <w:pStyle w:val="FootnoteText"/>
      </w:pPr>
      <w:r>
        <w:rPr>
          <w:rStyle w:val="FootnoteReference"/>
        </w:rPr>
        <w:footnoteRef/>
      </w:r>
      <w:r>
        <w:t xml:space="preserve"> Socrates,</w:t>
      </w:r>
      <w:r w:rsidRPr="00536DAF">
        <w:rPr>
          <w:i/>
        </w:rPr>
        <w:t xml:space="preserve"> </w:t>
      </w:r>
      <w:r w:rsidRPr="00536DAF">
        <w:t>1.9</w:t>
      </w:r>
    </w:p>
  </w:footnote>
  <w:footnote w:id="30">
    <w:p w14:paraId="08098340" w14:textId="77777777" w:rsidR="00D319A9" w:rsidRDefault="00D319A9">
      <w:pPr>
        <w:pStyle w:val="FootnoteText"/>
      </w:pPr>
      <w:r>
        <w:rPr>
          <w:rStyle w:val="FootnoteReference"/>
        </w:rPr>
        <w:footnoteRef/>
      </w:r>
      <w:r>
        <w:t xml:space="preserve"> Hefele, 1.</w:t>
      </w:r>
      <w:r w:rsidRPr="00536DAF">
        <w:t>351-3</w:t>
      </w:r>
    </w:p>
  </w:footnote>
  <w:footnote w:id="31">
    <w:p w14:paraId="08098341" w14:textId="77777777" w:rsidR="00D319A9" w:rsidRDefault="00D319A9">
      <w:pPr>
        <w:pStyle w:val="FootnoteText"/>
      </w:pPr>
      <w:r>
        <w:rPr>
          <w:rStyle w:val="FootnoteReference"/>
        </w:rPr>
        <w:footnoteRef/>
      </w:r>
      <w:r>
        <w:t xml:space="preserve"> Athanasius, </w:t>
      </w:r>
      <w:r>
        <w:rPr>
          <w:i/>
        </w:rPr>
        <w:t>Defense Against the Arians,</w:t>
      </w:r>
      <w:r w:rsidRPr="00536DAF">
        <w:t xml:space="preserve"> 71</w:t>
      </w:r>
    </w:p>
  </w:footnote>
  <w:footnote w:id="32">
    <w:p w14:paraId="08098342" w14:textId="77777777" w:rsidR="00D319A9" w:rsidRDefault="00D319A9">
      <w:pPr>
        <w:pStyle w:val="FootnoteText"/>
      </w:pPr>
      <w:r>
        <w:rPr>
          <w:rStyle w:val="FootnoteReference"/>
        </w:rPr>
        <w:footnoteRef/>
      </w:r>
      <w:r>
        <w:t xml:space="preserve"> Hefele, 1.</w:t>
      </w:r>
      <w:r w:rsidRPr="00536DAF">
        <w:t>354</w:t>
      </w:r>
    </w:p>
  </w:footnote>
  <w:footnote w:id="33">
    <w:p w14:paraId="08098343" w14:textId="77777777" w:rsidR="00D319A9" w:rsidRDefault="00D319A9">
      <w:pPr>
        <w:pStyle w:val="FootnoteText"/>
      </w:pPr>
      <w:r>
        <w:rPr>
          <w:rStyle w:val="FootnoteReference"/>
        </w:rPr>
        <w:footnoteRef/>
      </w:r>
      <w:r>
        <w:t xml:space="preserve"> Athanasius, </w:t>
      </w:r>
      <w:r>
        <w:rPr>
          <w:i/>
        </w:rPr>
        <w:t>Defense Against the Arians,</w:t>
      </w:r>
      <w:r w:rsidRPr="00536DAF">
        <w:t xml:space="preserve"> 59</w:t>
      </w:r>
    </w:p>
  </w:footnote>
  <w:footnote w:id="34">
    <w:p w14:paraId="08098344" w14:textId="77777777" w:rsidR="00D319A9" w:rsidRDefault="00D319A9">
      <w:pPr>
        <w:pStyle w:val="FootnoteText"/>
      </w:pPr>
      <w:r>
        <w:rPr>
          <w:rStyle w:val="FootnoteReference"/>
        </w:rPr>
        <w:footnoteRef/>
      </w:r>
      <w:r>
        <w:t xml:space="preserve"> </w:t>
      </w:r>
      <w:proofErr w:type="spellStart"/>
      <w:r w:rsidRPr="00931067">
        <w:t>Brakke</w:t>
      </w:r>
      <w:proofErr w:type="spellEnd"/>
      <w:r>
        <w:t>,</w:t>
      </w:r>
      <w:r w:rsidRPr="00931067">
        <w:t xml:space="preserve"> 1106</w:t>
      </w:r>
      <w:r w:rsidRPr="009635F4">
        <w:rPr>
          <w:i/>
        </w:rPr>
        <w:t>f</w:t>
      </w:r>
    </w:p>
  </w:footnote>
  <w:footnote w:id="35">
    <w:p w14:paraId="08098345"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931067">
        <w:t xml:space="preserve"> 1107</w:t>
      </w:r>
      <w:proofErr w:type="gramEnd"/>
    </w:p>
  </w:footnote>
  <w:footnote w:id="36">
    <w:p w14:paraId="08098346" w14:textId="77777777" w:rsidR="00D319A9" w:rsidRDefault="00D319A9">
      <w:pPr>
        <w:pStyle w:val="FootnoteText"/>
      </w:pPr>
      <w:r>
        <w:rPr>
          <w:rStyle w:val="FootnoteReference"/>
        </w:rPr>
        <w:footnoteRef/>
      </w:r>
      <w:r>
        <w:t xml:space="preserve"> Hefele, 2.</w:t>
      </w:r>
      <w:r w:rsidRPr="00931067">
        <w:t>10</w:t>
      </w:r>
    </w:p>
  </w:footnote>
  <w:footnote w:id="37">
    <w:p w14:paraId="08098347" w14:textId="77777777" w:rsidR="00D319A9" w:rsidRDefault="00D319A9">
      <w:pPr>
        <w:pStyle w:val="FootnoteText"/>
      </w:pPr>
      <w:r>
        <w:rPr>
          <w:rStyle w:val="FootnoteReference"/>
        </w:rPr>
        <w:footnoteRef/>
      </w:r>
      <w:r>
        <w:t xml:space="preserve"> Casey, 288</w:t>
      </w:r>
    </w:p>
  </w:footnote>
  <w:footnote w:id="38">
    <w:p w14:paraId="08098348" w14:textId="77777777" w:rsidR="00D319A9" w:rsidRDefault="00D319A9">
      <w:pPr>
        <w:pStyle w:val="FootnoteText"/>
      </w:pPr>
      <w:r>
        <w:rPr>
          <w:rStyle w:val="FootnoteReference"/>
        </w:rPr>
        <w:footnoteRef/>
      </w:r>
      <w:r>
        <w:t xml:space="preserve"> Bell and Crum. </w:t>
      </w:r>
      <w:r w:rsidRPr="00CB512B">
        <w:rPr>
          <w:i/>
        </w:rPr>
        <w:t>Jews and Christians in Egypt</w:t>
      </w:r>
      <w:r>
        <w:t>. London, 1924. As examined in Casey.</w:t>
      </w:r>
    </w:p>
  </w:footnote>
  <w:footnote w:id="39">
    <w:p w14:paraId="08098349" w14:textId="77777777" w:rsidR="00D319A9" w:rsidRDefault="00D319A9">
      <w:pPr>
        <w:pStyle w:val="FootnoteText"/>
      </w:pPr>
      <w:r>
        <w:rPr>
          <w:rStyle w:val="FootnoteReference"/>
        </w:rPr>
        <w:footnoteRef/>
      </w:r>
      <w:r>
        <w:t xml:space="preserve"> Casey, 287-91</w:t>
      </w:r>
    </w:p>
  </w:footnote>
  <w:footnote w:id="40">
    <w:p w14:paraId="0809834A" w14:textId="77777777" w:rsidR="00D319A9" w:rsidRDefault="00D319A9">
      <w:pPr>
        <w:pStyle w:val="FootnoteText"/>
      </w:pPr>
      <w:r>
        <w:rPr>
          <w:rStyle w:val="FootnoteReference"/>
        </w:rPr>
        <w:footnoteRef/>
      </w:r>
      <w:r>
        <w:t xml:space="preserve"> </w:t>
      </w:r>
      <w:r w:rsidRPr="00931067">
        <w:t>Hefele</w:t>
      </w:r>
      <w:r>
        <w:t>, 2.</w:t>
      </w:r>
      <w:r w:rsidRPr="00931067">
        <w:t>10</w:t>
      </w:r>
    </w:p>
  </w:footnote>
  <w:footnote w:id="41">
    <w:p w14:paraId="0809834B" w14:textId="77777777" w:rsidR="00D319A9" w:rsidRDefault="00D319A9">
      <w:pPr>
        <w:pStyle w:val="FootnoteText"/>
      </w:pPr>
      <w:r>
        <w:rPr>
          <w:rStyle w:val="FootnoteReference"/>
        </w:rPr>
        <w:footnoteRef/>
      </w:r>
      <w:r>
        <w:t xml:space="preserve"> Athanasius, </w:t>
      </w:r>
      <w:r>
        <w:rPr>
          <w:i/>
        </w:rPr>
        <w:t>Defense Against the Arians,</w:t>
      </w:r>
      <w:r w:rsidRPr="00931067">
        <w:rPr>
          <w:i/>
        </w:rPr>
        <w:t xml:space="preserve"> </w:t>
      </w:r>
      <w:r w:rsidRPr="00931067">
        <w:t>59</w:t>
      </w:r>
    </w:p>
  </w:footnote>
  <w:footnote w:id="42">
    <w:p w14:paraId="0809834C"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931067">
        <w:rPr>
          <w:i/>
        </w:rPr>
        <w:t xml:space="preserve"> </w:t>
      </w:r>
      <w:r w:rsidRPr="00931067">
        <w:t>59</w:t>
      </w:r>
      <w:proofErr w:type="gramEnd"/>
      <w:r>
        <w:t>-60</w:t>
      </w:r>
    </w:p>
  </w:footnote>
  <w:footnote w:id="43">
    <w:p w14:paraId="0809834D"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931067">
        <w:t xml:space="preserve"> 63</w:t>
      </w:r>
      <w:proofErr w:type="gramEnd"/>
    </w:p>
  </w:footnote>
  <w:footnote w:id="44">
    <w:p w14:paraId="0809834E" w14:textId="77777777" w:rsidR="00D319A9" w:rsidRDefault="00D319A9">
      <w:pPr>
        <w:pStyle w:val="FootnoteText"/>
      </w:pPr>
      <w:r>
        <w:rPr>
          <w:rStyle w:val="FootnoteReference"/>
        </w:rPr>
        <w:footnoteRef/>
      </w:r>
      <w:r>
        <w:t xml:space="preserve"> </w:t>
      </w:r>
      <w:r w:rsidRPr="001C0E46">
        <w:rPr>
          <w:i/>
        </w:rPr>
        <w:t>Ibid.</w:t>
      </w:r>
      <w:r>
        <w:rPr>
          <w:i/>
        </w:rPr>
        <w:t xml:space="preserve">, </w:t>
      </w:r>
      <w:r>
        <w:t>61-</w:t>
      </w:r>
      <w:r w:rsidRPr="00931067">
        <w:t>2</w:t>
      </w:r>
    </w:p>
  </w:footnote>
  <w:footnote w:id="45">
    <w:p w14:paraId="0809834F"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E41CB6">
        <w:t xml:space="preserve"> </w:t>
      </w:r>
      <w:r w:rsidRPr="00931067">
        <w:t>64</w:t>
      </w:r>
      <w:proofErr w:type="gramEnd"/>
    </w:p>
  </w:footnote>
  <w:footnote w:id="46">
    <w:p w14:paraId="08098350" w14:textId="77777777" w:rsidR="00D319A9" w:rsidRDefault="00D319A9">
      <w:pPr>
        <w:pStyle w:val="FootnoteText"/>
      </w:pPr>
      <w:r>
        <w:rPr>
          <w:rStyle w:val="FootnoteReference"/>
        </w:rPr>
        <w:footnoteRef/>
      </w:r>
      <w:r>
        <w:t xml:space="preserve"> </w:t>
      </w:r>
      <w:r w:rsidRPr="001C0E46">
        <w:rPr>
          <w:i/>
        </w:rPr>
        <w:t>Ibid.</w:t>
      </w:r>
      <w:proofErr w:type="gramStart"/>
      <w:r>
        <w:rPr>
          <w:i/>
        </w:rPr>
        <w:t xml:space="preserve">, </w:t>
      </w:r>
      <w:r w:rsidRPr="00931067">
        <w:rPr>
          <w:i/>
        </w:rPr>
        <w:t xml:space="preserve"> </w:t>
      </w:r>
      <w:r w:rsidRPr="00931067">
        <w:t>70</w:t>
      </w:r>
      <w:proofErr w:type="gramEnd"/>
    </w:p>
  </w:footnote>
  <w:footnote w:id="47">
    <w:p w14:paraId="08098351" w14:textId="77777777" w:rsidR="00D319A9" w:rsidRDefault="00D319A9">
      <w:pPr>
        <w:pStyle w:val="FootnoteText"/>
      </w:pPr>
      <w:r>
        <w:rPr>
          <w:rStyle w:val="FootnoteReference"/>
        </w:rPr>
        <w:footnoteRef/>
      </w:r>
      <w:r>
        <w:t xml:space="preserve"> </w:t>
      </w:r>
      <w:r w:rsidRPr="00931067">
        <w:t>Hefele</w:t>
      </w:r>
      <w:r>
        <w:t>,</w:t>
      </w:r>
      <w:r w:rsidRPr="00931067">
        <w:t xml:space="preserve"> 2.16</w:t>
      </w:r>
    </w:p>
  </w:footnote>
  <w:footnote w:id="48">
    <w:p w14:paraId="08098352" w14:textId="77777777" w:rsidR="00D319A9" w:rsidRDefault="00D319A9">
      <w:pPr>
        <w:pStyle w:val="FootnoteText"/>
      </w:pPr>
      <w:r>
        <w:rPr>
          <w:rStyle w:val="FootnoteReference"/>
        </w:rPr>
        <w:footnoteRef/>
      </w:r>
      <w:r>
        <w:t xml:space="preserve"> </w:t>
      </w:r>
      <w:r w:rsidRPr="00931067">
        <w:t>Theodoret, 1.30</w:t>
      </w:r>
    </w:p>
  </w:footnote>
  <w:footnote w:id="49">
    <w:p w14:paraId="08098353" w14:textId="77777777" w:rsidR="00D319A9" w:rsidRDefault="00D319A9">
      <w:pPr>
        <w:pStyle w:val="FootnoteText"/>
      </w:pPr>
      <w:r>
        <w:rPr>
          <w:rStyle w:val="FootnoteReference"/>
        </w:rPr>
        <w:footnoteRef/>
      </w:r>
      <w:r>
        <w:t xml:space="preserve"> Hefele, 2.</w:t>
      </w:r>
      <w:r w:rsidRPr="00931067">
        <w:t>23</w:t>
      </w:r>
      <w:r w:rsidRPr="009635F4">
        <w:rPr>
          <w:i/>
        </w:rPr>
        <w:t>f</w:t>
      </w:r>
    </w:p>
  </w:footnote>
  <w:footnote w:id="50">
    <w:p w14:paraId="08098354" w14:textId="77777777" w:rsidR="00D319A9" w:rsidRDefault="00D319A9">
      <w:pPr>
        <w:pStyle w:val="FootnoteText"/>
      </w:pPr>
      <w:r>
        <w:rPr>
          <w:rStyle w:val="FootnoteReference"/>
        </w:rPr>
        <w:footnoteRef/>
      </w:r>
      <w:r>
        <w:t xml:space="preserve"> </w:t>
      </w:r>
      <w:r w:rsidRPr="001C0E46">
        <w:rPr>
          <w:i/>
        </w:rPr>
        <w:t>Ibid.</w:t>
      </w:r>
      <w:r>
        <w:rPr>
          <w:i/>
        </w:rPr>
        <w:t xml:space="preserve">, </w:t>
      </w:r>
      <w:r>
        <w:t>2.</w:t>
      </w:r>
      <w:r w:rsidRPr="00931067">
        <w:t>25</w:t>
      </w:r>
    </w:p>
  </w:footnote>
  <w:footnote w:id="51">
    <w:p w14:paraId="08098355" w14:textId="77777777" w:rsidR="00D319A9" w:rsidRDefault="00D319A9">
      <w:pPr>
        <w:pStyle w:val="FootnoteText"/>
      </w:pPr>
      <w:r>
        <w:rPr>
          <w:rStyle w:val="FootnoteReference"/>
        </w:rPr>
        <w:footnoteRef/>
      </w:r>
      <w:r>
        <w:t xml:space="preserve"> </w:t>
      </w:r>
      <w:r w:rsidRPr="001C0E46">
        <w:rPr>
          <w:i/>
        </w:rPr>
        <w:t>Ibid.</w:t>
      </w:r>
      <w:r>
        <w:rPr>
          <w:i/>
        </w:rPr>
        <w:t xml:space="preserve">, </w:t>
      </w:r>
      <w:r w:rsidRPr="00931067">
        <w:t>1.32</w:t>
      </w:r>
    </w:p>
  </w:footnote>
  <w:footnote w:id="52">
    <w:p w14:paraId="08098356" w14:textId="77777777" w:rsidR="00D319A9" w:rsidRDefault="00D319A9">
      <w:pPr>
        <w:pStyle w:val="FootnoteText"/>
      </w:pPr>
      <w:r>
        <w:rPr>
          <w:rStyle w:val="FootnoteReference"/>
        </w:rPr>
        <w:footnoteRef/>
      </w:r>
      <w:r>
        <w:t xml:space="preserve"> </w:t>
      </w:r>
      <w:r w:rsidRPr="001C0E46">
        <w:rPr>
          <w:i/>
        </w:rPr>
        <w:t>Ibid.</w:t>
      </w:r>
      <w:r>
        <w:rPr>
          <w:i/>
        </w:rPr>
        <w:t xml:space="preserve">, </w:t>
      </w:r>
      <w:r>
        <w:t>2.</w:t>
      </w:r>
      <w:r w:rsidRPr="00931067">
        <w:t>29</w:t>
      </w:r>
    </w:p>
  </w:footnote>
  <w:footnote w:id="53">
    <w:p w14:paraId="08098357" w14:textId="77777777" w:rsidR="00D319A9" w:rsidRDefault="00D319A9">
      <w:pPr>
        <w:pStyle w:val="FootnoteText"/>
      </w:pPr>
      <w:r>
        <w:rPr>
          <w:rStyle w:val="FootnoteReference"/>
        </w:rPr>
        <w:footnoteRef/>
      </w:r>
      <w:r>
        <w:t xml:space="preserve"> Sozomen 2.31</w:t>
      </w:r>
    </w:p>
  </w:footnote>
  <w:footnote w:id="54">
    <w:p w14:paraId="08098358" w14:textId="77777777" w:rsidR="00D319A9" w:rsidRDefault="00D319A9">
      <w:pPr>
        <w:pStyle w:val="FootnoteText"/>
      </w:pPr>
      <w:r>
        <w:rPr>
          <w:rStyle w:val="FootnoteReference"/>
        </w:rPr>
        <w:footnoteRef/>
      </w:r>
      <w:r>
        <w:t xml:space="preserve"> Hefele 1.</w:t>
      </w:r>
      <w:r w:rsidRPr="00931067">
        <w:t>354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320" w14:textId="59D0DC28" w:rsidR="0014750B" w:rsidRDefault="0014750B" w:rsidP="0014750B">
    <w:pPr>
      <w:pStyle w:val="Header"/>
      <w:ind w:firstLine="0"/>
    </w:pPr>
    <w:r>
      <w:tab/>
    </w:r>
    <w:r w:rsidR="000F0935">
      <w:t>Athanasius’ Thorn: The Schismatic Egyptian Meletians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8322" w14:textId="33EA0AFC" w:rsidR="008405DA" w:rsidRDefault="00D51817" w:rsidP="00FF2004">
    <w:pPr>
      <w:pStyle w:val="Header"/>
      <w:ind w:firstLine="0"/>
      <w:jc w:val="center"/>
    </w:pPr>
    <w:r>
      <w:t>Athan</w:t>
    </w:r>
    <w:r w:rsidR="0076146C">
      <w:t xml:space="preserve">asius’ Thorn: The Schismatic </w:t>
    </w:r>
    <w:r w:rsidR="008405DA">
      <w:t>Egyptian Meletians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27"/>
    <w:rsid w:val="00001566"/>
    <w:rsid w:val="0002004F"/>
    <w:rsid w:val="0002749E"/>
    <w:rsid w:val="0003552A"/>
    <w:rsid w:val="00042493"/>
    <w:rsid w:val="000459AE"/>
    <w:rsid w:val="00055DB5"/>
    <w:rsid w:val="0006114C"/>
    <w:rsid w:val="00067C43"/>
    <w:rsid w:val="00083F5D"/>
    <w:rsid w:val="00097B9C"/>
    <w:rsid w:val="000B026B"/>
    <w:rsid w:val="000B387C"/>
    <w:rsid w:val="000B4D53"/>
    <w:rsid w:val="000C7FF6"/>
    <w:rsid w:val="000D01A6"/>
    <w:rsid w:val="000D3D55"/>
    <w:rsid w:val="000E33F9"/>
    <w:rsid w:val="000E3E91"/>
    <w:rsid w:val="000F01BD"/>
    <w:rsid w:val="000F0935"/>
    <w:rsid w:val="00110892"/>
    <w:rsid w:val="0012233F"/>
    <w:rsid w:val="001225CB"/>
    <w:rsid w:val="0013670E"/>
    <w:rsid w:val="00136D66"/>
    <w:rsid w:val="001458D0"/>
    <w:rsid w:val="0014750B"/>
    <w:rsid w:val="00155F7D"/>
    <w:rsid w:val="00160B74"/>
    <w:rsid w:val="00171802"/>
    <w:rsid w:val="0017253C"/>
    <w:rsid w:val="00180231"/>
    <w:rsid w:val="00185085"/>
    <w:rsid w:val="00187C5C"/>
    <w:rsid w:val="00193FF0"/>
    <w:rsid w:val="001A20D0"/>
    <w:rsid w:val="001B1144"/>
    <w:rsid w:val="001C0E46"/>
    <w:rsid w:val="001C10CD"/>
    <w:rsid w:val="001C2F56"/>
    <w:rsid w:val="001C4402"/>
    <w:rsid w:val="001C4B5E"/>
    <w:rsid w:val="001C6F5C"/>
    <w:rsid w:val="001D6061"/>
    <w:rsid w:val="001E2CFF"/>
    <w:rsid w:val="001E3CF9"/>
    <w:rsid w:val="001E44CF"/>
    <w:rsid w:val="001E4795"/>
    <w:rsid w:val="001F032F"/>
    <w:rsid w:val="001F0C24"/>
    <w:rsid w:val="00200014"/>
    <w:rsid w:val="00207549"/>
    <w:rsid w:val="002151A7"/>
    <w:rsid w:val="00222015"/>
    <w:rsid w:val="0022249B"/>
    <w:rsid w:val="00225AF6"/>
    <w:rsid w:val="00237A0D"/>
    <w:rsid w:val="0024025E"/>
    <w:rsid w:val="002411B4"/>
    <w:rsid w:val="00246582"/>
    <w:rsid w:val="00252CEC"/>
    <w:rsid w:val="00256585"/>
    <w:rsid w:val="002661DB"/>
    <w:rsid w:val="0027217D"/>
    <w:rsid w:val="0027445F"/>
    <w:rsid w:val="00275CEC"/>
    <w:rsid w:val="002928E8"/>
    <w:rsid w:val="0029791F"/>
    <w:rsid w:val="002A59E2"/>
    <w:rsid w:val="002B0015"/>
    <w:rsid w:val="002B6F60"/>
    <w:rsid w:val="002C0CA8"/>
    <w:rsid w:val="002C7ADB"/>
    <w:rsid w:val="002E439B"/>
    <w:rsid w:val="002F1E24"/>
    <w:rsid w:val="002F260E"/>
    <w:rsid w:val="002F57F9"/>
    <w:rsid w:val="0030102B"/>
    <w:rsid w:val="00306F1B"/>
    <w:rsid w:val="00316770"/>
    <w:rsid w:val="00337E96"/>
    <w:rsid w:val="00340087"/>
    <w:rsid w:val="003443CB"/>
    <w:rsid w:val="00346404"/>
    <w:rsid w:val="0035180F"/>
    <w:rsid w:val="0035245B"/>
    <w:rsid w:val="003653A0"/>
    <w:rsid w:val="00367F41"/>
    <w:rsid w:val="00372333"/>
    <w:rsid w:val="00382F16"/>
    <w:rsid w:val="00383718"/>
    <w:rsid w:val="00385F9E"/>
    <w:rsid w:val="003A104E"/>
    <w:rsid w:val="003A5B06"/>
    <w:rsid w:val="003A6F6B"/>
    <w:rsid w:val="003C0F54"/>
    <w:rsid w:val="003C3549"/>
    <w:rsid w:val="003C6463"/>
    <w:rsid w:val="003E1DA8"/>
    <w:rsid w:val="003E29F1"/>
    <w:rsid w:val="003E6F5E"/>
    <w:rsid w:val="003E7F13"/>
    <w:rsid w:val="003F624D"/>
    <w:rsid w:val="003F71CE"/>
    <w:rsid w:val="00404BDF"/>
    <w:rsid w:val="0040733F"/>
    <w:rsid w:val="00415E10"/>
    <w:rsid w:val="004464F3"/>
    <w:rsid w:val="00450C6A"/>
    <w:rsid w:val="00454230"/>
    <w:rsid w:val="004616D4"/>
    <w:rsid w:val="004620CB"/>
    <w:rsid w:val="00462747"/>
    <w:rsid w:val="004958A7"/>
    <w:rsid w:val="004C333A"/>
    <w:rsid w:val="004C4E8D"/>
    <w:rsid w:val="004C5F1F"/>
    <w:rsid w:val="004C6A6A"/>
    <w:rsid w:val="004C6F5F"/>
    <w:rsid w:val="004D38F3"/>
    <w:rsid w:val="004D404E"/>
    <w:rsid w:val="004E0EE8"/>
    <w:rsid w:val="004E4541"/>
    <w:rsid w:val="004E5A43"/>
    <w:rsid w:val="004F02E5"/>
    <w:rsid w:val="004F0C8E"/>
    <w:rsid w:val="00523C54"/>
    <w:rsid w:val="00525599"/>
    <w:rsid w:val="00536DAF"/>
    <w:rsid w:val="005442FA"/>
    <w:rsid w:val="00544D85"/>
    <w:rsid w:val="00546E84"/>
    <w:rsid w:val="00547878"/>
    <w:rsid w:val="005523EC"/>
    <w:rsid w:val="00554E60"/>
    <w:rsid w:val="00570FA6"/>
    <w:rsid w:val="00572071"/>
    <w:rsid w:val="00572769"/>
    <w:rsid w:val="00575E86"/>
    <w:rsid w:val="00591C9E"/>
    <w:rsid w:val="00593D77"/>
    <w:rsid w:val="0059730C"/>
    <w:rsid w:val="005A1746"/>
    <w:rsid w:val="005A4C26"/>
    <w:rsid w:val="005B13CD"/>
    <w:rsid w:val="005B3045"/>
    <w:rsid w:val="005B5CE9"/>
    <w:rsid w:val="005B668B"/>
    <w:rsid w:val="005D004E"/>
    <w:rsid w:val="005F613C"/>
    <w:rsid w:val="00604DCC"/>
    <w:rsid w:val="00610B41"/>
    <w:rsid w:val="006151F0"/>
    <w:rsid w:val="00617D38"/>
    <w:rsid w:val="006277A2"/>
    <w:rsid w:val="0063297E"/>
    <w:rsid w:val="006331E9"/>
    <w:rsid w:val="00633AB1"/>
    <w:rsid w:val="006504AA"/>
    <w:rsid w:val="006517D7"/>
    <w:rsid w:val="00653730"/>
    <w:rsid w:val="00667879"/>
    <w:rsid w:val="00681A5A"/>
    <w:rsid w:val="00685C5D"/>
    <w:rsid w:val="00695AD4"/>
    <w:rsid w:val="006969A0"/>
    <w:rsid w:val="006A1052"/>
    <w:rsid w:val="006A43EB"/>
    <w:rsid w:val="006A7D1D"/>
    <w:rsid w:val="006B550F"/>
    <w:rsid w:val="006B5D91"/>
    <w:rsid w:val="006D09AC"/>
    <w:rsid w:val="006D7C00"/>
    <w:rsid w:val="006F0820"/>
    <w:rsid w:val="006F25BD"/>
    <w:rsid w:val="007063AB"/>
    <w:rsid w:val="00713C45"/>
    <w:rsid w:val="00723A5A"/>
    <w:rsid w:val="00741576"/>
    <w:rsid w:val="00747A40"/>
    <w:rsid w:val="00753594"/>
    <w:rsid w:val="00757CE8"/>
    <w:rsid w:val="007605EB"/>
    <w:rsid w:val="0076146C"/>
    <w:rsid w:val="007642EC"/>
    <w:rsid w:val="00766264"/>
    <w:rsid w:val="007662B6"/>
    <w:rsid w:val="00766AF4"/>
    <w:rsid w:val="00774026"/>
    <w:rsid w:val="007750BB"/>
    <w:rsid w:val="00776E81"/>
    <w:rsid w:val="00777F53"/>
    <w:rsid w:val="00780A71"/>
    <w:rsid w:val="0078364A"/>
    <w:rsid w:val="00785B4F"/>
    <w:rsid w:val="00787278"/>
    <w:rsid w:val="007911D7"/>
    <w:rsid w:val="007916DB"/>
    <w:rsid w:val="00792E54"/>
    <w:rsid w:val="007A22F4"/>
    <w:rsid w:val="007A288D"/>
    <w:rsid w:val="007A4906"/>
    <w:rsid w:val="007B4A2F"/>
    <w:rsid w:val="007C2F05"/>
    <w:rsid w:val="007C3A74"/>
    <w:rsid w:val="007E06F1"/>
    <w:rsid w:val="007E75FF"/>
    <w:rsid w:val="007E7EBC"/>
    <w:rsid w:val="007F786B"/>
    <w:rsid w:val="007F7FAB"/>
    <w:rsid w:val="008039BB"/>
    <w:rsid w:val="00815A3E"/>
    <w:rsid w:val="0082192C"/>
    <w:rsid w:val="008244CD"/>
    <w:rsid w:val="00825A5C"/>
    <w:rsid w:val="00826048"/>
    <w:rsid w:val="008358E7"/>
    <w:rsid w:val="008405DA"/>
    <w:rsid w:val="00840FE3"/>
    <w:rsid w:val="00845997"/>
    <w:rsid w:val="00847452"/>
    <w:rsid w:val="008505B1"/>
    <w:rsid w:val="00854631"/>
    <w:rsid w:val="00870995"/>
    <w:rsid w:val="0087545C"/>
    <w:rsid w:val="00885348"/>
    <w:rsid w:val="008905CD"/>
    <w:rsid w:val="008A17CF"/>
    <w:rsid w:val="008A2431"/>
    <w:rsid w:val="008A3A63"/>
    <w:rsid w:val="008B1B32"/>
    <w:rsid w:val="008B778F"/>
    <w:rsid w:val="008C17E4"/>
    <w:rsid w:val="008D3CEA"/>
    <w:rsid w:val="008E19E9"/>
    <w:rsid w:val="008F0B40"/>
    <w:rsid w:val="008F14FB"/>
    <w:rsid w:val="008F4E3D"/>
    <w:rsid w:val="00902877"/>
    <w:rsid w:val="00905246"/>
    <w:rsid w:val="00921F5C"/>
    <w:rsid w:val="00931067"/>
    <w:rsid w:val="009375C2"/>
    <w:rsid w:val="00943068"/>
    <w:rsid w:val="009432F0"/>
    <w:rsid w:val="00954FEA"/>
    <w:rsid w:val="00957540"/>
    <w:rsid w:val="00962449"/>
    <w:rsid w:val="009635F4"/>
    <w:rsid w:val="00966224"/>
    <w:rsid w:val="00971686"/>
    <w:rsid w:val="00984DA8"/>
    <w:rsid w:val="00997CED"/>
    <w:rsid w:val="009A47F8"/>
    <w:rsid w:val="009A4E77"/>
    <w:rsid w:val="009B0CBE"/>
    <w:rsid w:val="009C6027"/>
    <w:rsid w:val="009D3E77"/>
    <w:rsid w:val="009E397D"/>
    <w:rsid w:val="009F3808"/>
    <w:rsid w:val="009F66E6"/>
    <w:rsid w:val="00A04ED9"/>
    <w:rsid w:val="00A05FFF"/>
    <w:rsid w:val="00A10A4F"/>
    <w:rsid w:val="00A10C0B"/>
    <w:rsid w:val="00A21442"/>
    <w:rsid w:val="00A22C6E"/>
    <w:rsid w:val="00A27107"/>
    <w:rsid w:val="00A31CA3"/>
    <w:rsid w:val="00A347DC"/>
    <w:rsid w:val="00A351BD"/>
    <w:rsid w:val="00A37066"/>
    <w:rsid w:val="00A376FC"/>
    <w:rsid w:val="00A416B7"/>
    <w:rsid w:val="00A41E48"/>
    <w:rsid w:val="00A517E9"/>
    <w:rsid w:val="00A51B87"/>
    <w:rsid w:val="00A57213"/>
    <w:rsid w:val="00A57FC0"/>
    <w:rsid w:val="00A63786"/>
    <w:rsid w:val="00A65137"/>
    <w:rsid w:val="00A65E73"/>
    <w:rsid w:val="00A720B9"/>
    <w:rsid w:val="00A759FC"/>
    <w:rsid w:val="00A82014"/>
    <w:rsid w:val="00A86CF7"/>
    <w:rsid w:val="00AA33B1"/>
    <w:rsid w:val="00AA65DA"/>
    <w:rsid w:val="00AB6AE6"/>
    <w:rsid w:val="00AC30D4"/>
    <w:rsid w:val="00AC429A"/>
    <w:rsid w:val="00AC7D96"/>
    <w:rsid w:val="00AD3706"/>
    <w:rsid w:val="00AE5067"/>
    <w:rsid w:val="00B02C58"/>
    <w:rsid w:val="00B053E6"/>
    <w:rsid w:val="00B25AFF"/>
    <w:rsid w:val="00B25EC1"/>
    <w:rsid w:val="00B26E57"/>
    <w:rsid w:val="00B30009"/>
    <w:rsid w:val="00B40525"/>
    <w:rsid w:val="00B50F51"/>
    <w:rsid w:val="00B720B1"/>
    <w:rsid w:val="00B74A75"/>
    <w:rsid w:val="00B81ABB"/>
    <w:rsid w:val="00B85175"/>
    <w:rsid w:val="00B85CD7"/>
    <w:rsid w:val="00B86718"/>
    <w:rsid w:val="00B870C0"/>
    <w:rsid w:val="00B93386"/>
    <w:rsid w:val="00BA0EE4"/>
    <w:rsid w:val="00BB01B6"/>
    <w:rsid w:val="00BB5744"/>
    <w:rsid w:val="00BC6772"/>
    <w:rsid w:val="00BD1C97"/>
    <w:rsid w:val="00BD7E1A"/>
    <w:rsid w:val="00BE332A"/>
    <w:rsid w:val="00BF1ACA"/>
    <w:rsid w:val="00BF380C"/>
    <w:rsid w:val="00BF6480"/>
    <w:rsid w:val="00C05E42"/>
    <w:rsid w:val="00C14324"/>
    <w:rsid w:val="00C3321F"/>
    <w:rsid w:val="00C353F2"/>
    <w:rsid w:val="00C36B98"/>
    <w:rsid w:val="00C40A9A"/>
    <w:rsid w:val="00C45B46"/>
    <w:rsid w:val="00C57AE3"/>
    <w:rsid w:val="00C61308"/>
    <w:rsid w:val="00C71423"/>
    <w:rsid w:val="00C727C3"/>
    <w:rsid w:val="00C73EFD"/>
    <w:rsid w:val="00C77DA3"/>
    <w:rsid w:val="00C8184B"/>
    <w:rsid w:val="00C83606"/>
    <w:rsid w:val="00C8392D"/>
    <w:rsid w:val="00CB241D"/>
    <w:rsid w:val="00CB512B"/>
    <w:rsid w:val="00CB6BDD"/>
    <w:rsid w:val="00CC0169"/>
    <w:rsid w:val="00CC7C97"/>
    <w:rsid w:val="00CE466D"/>
    <w:rsid w:val="00CE67FF"/>
    <w:rsid w:val="00CE6DF9"/>
    <w:rsid w:val="00CE7C44"/>
    <w:rsid w:val="00CF0F24"/>
    <w:rsid w:val="00D015DB"/>
    <w:rsid w:val="00D036D9"/>
    <w:rsid w:val="00D03B78"/>
    <w:rsid w:val="00D04208"/>
    <w:rsid w:val="00D0709F"/>
    <w:rsid w:val="00D14A0F"/>
    <w:rsid w:val="00D16F40"/>
    <w:rsid w:val="00D20C75"/>
    <w:rsid w:val="00D319A9"/>
    <w:rsid w:val="00D34EEA"/>
    <w:rsid w:val="00D34FD1"/>
    <w:rsid w:val="00D41E90"/>
    <w:rsid w:val="00D44B25"/>
    <w:rsid w:val="00D51817"/>
    <w:rsid w:val="00D556FB"/>
    <w:rsid w:val="00D562ED"/>
    <w:rsid w:val="00D61B07"/>
    <w:rsid w:val="00D63D55"/>
    <w:rsid w:val="00D75373"/>
    <w:rsid w:val="00D75DF9"/>
    <w:rsid w:val="00D77971"/>
    <w:rsid w:val="00D918BB"/>
    <w:rsid w:val="00D96091"/>
    <w:rsid w:val="00DB74C9"/>
    <w:rsid w:val="00DE035A"/>
    <w:rsid w:val="00DE33D1"/>
    <w:rsid w:val="00DF2D07"/>
    <w:rsid w:val="00E0135C"/>
    <w:rsid w:val="00E03005"/>
    <w:rsid w:val="00E14B6F"/>
    <w:rsid w:val="00E2103E"/>
    <w:rsid w:val="00E25D1D"/>
    <w:rsid w:val="00E26D9C"/>
    <w:rsid w:val="00E34AF2"/>
    <w:rsid w:val="00E41CB6"/>
    <w:rsid w:val="00E506EE"/>
    <w:rsid w:val="00E51C45"/>
    <w:rsid w:val="00E52CAA"/>
    <w:rsid w:val="00E62A83"/>
    <w:rsid w:val="00E62D65"/>
    <w:rsid w:val="00E63B80"/>
    <w:rsid w:val="00E731EE"/>
    <w:rsid w:val="00E91D5E"/>
    <w:rsid w:val="00E93611"/>
    <w:rsid w:val="00E96CB1"/>
    <w:rsid w:val="00EA4EB7"/>
    <w:rsid w:val="00EA52E6"/>
    <w:rsid w:val="00EB3501"/>
    <w:rsid w:val="00EC425D"/>
    <w:rsid w:val="00ED1A09"/>
    <w:rsid w:val="00EE1419"/>
    <w:rsid w:val="00EE190C"/>
    <w:rsid w:val="00EE61DB"/>
    <w:rsid w:val="00EE7375"/>
    <w:rsid w:val="00EF276B"/>
    <w:rsid w:val="00EF2F51"/>
    <w:rsid w:val="00F01627"/>
    <w:rsid w:val="00F11512"/>
    <w:rsid w:val="00F148EC"/>
    <w:rsid w:val="00F15673"/>
    <w:rsid w:val="00F172C9"/>
    <w:rsid w:val="00F22CC4"/>
    <w:rsid w:val="00F32631"/>
    <w:rsid w:val="00F35EB3"/>
    <w:rsid w:val="00F46E72"/>
    <w:rsid w:val="00F51021"/>
    <w:rsid w:val="00F5125E"/>
    <w:rsid w:val="00F63A11"/>
    <w:rsid w:val="00F71CBF"/>
    <w:rsid w:val="00F73328"/>
    <w:rsid w:val="00F847A4"/>
    <w:rsid w:val="00F8716F"/>
    <w:rsid w:val="00FA40FD"/>
    <w:rsid w:val="00FB041F"/>
    <w:rsid w:val="00FB27F0"/>
    <w:rsid w:val="00FB7F56"/>
    <w:rsid w:val="00FC1C8E"/>
    <w:rsid w:val="00FC35B4"/>
    <w:rsid w:val="00FD3A0F"/>
    <w:rsid w:val="00FD6706"/>
    <w:rsid w:val="00FE7BF4"/>
    <w:rsid w:val="00FE7D37"/>
    <w:rsid w:val="00FF2004"/>
    <w:rsid w:val="00FF4BDE"/>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98302"/>
  <w15:chartTrackingRefBased/>
  <w15:docId w15:val="{C6F595EA-2365-41AD-943D-5578FB8A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04E"/>
    <w:pPr>
      <w:spacing w:line="384" w:lineRule="auto"/>
      <w:ind w:firstLine="57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E33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E33F9"/>
    <w:rPr>
      <w:rFonts w:ascii="Consolas" w:hAnsi="Consolas"/>
      <w:sz w:val="21"/>
      <w:szCs w:val="21"/>
    </w:rPr>
  </w:style>
  <w:style w:type="paragraph" w:styleId="EndnoteText">
    <w:name w:val="endnote text"/>
    <w:basedOn w:val="Normal"/>
    <w:link w:val="EndnoteTextChar"/>
    <w:uiPriority w:val="99"/>
    <w:semiHidden/>
    <w:unhideWhenUsed/>
    <w:rsid w:val="00F1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12"/>
    <w:rPr>
      <w:sz w:val="20"/>
      <w:szCs w:val="20"/>
    </w:rPr>
  </w:style>
  <w:style w:type="character" w:styleId="EndnoteReference">
    <w:name w:val="endnote reference"/>
    <w:basedOn w:val="DefaultParagraphFont"/>
    <w:uiPriority w:val="99"/>
    <w:semiHidden/>
    <w:unhideWhenUsed/>
    <w:rsid w:val="00F11512"/>
    <w:rPr>
      <w:vertAlign w:val="superscript"/>
    </w:rPr>
  </w:style>
  <w:style w:type="paragraph" w:styleId="NoSpacing">
    <w:name w:val="No Spacing"/>
    <w:link w:val="NoSpacingChar"/>
    <w:uiPriority w:val="1"/>
    <w:qFormat/>
    <w:rsid w:val="005523EC"/>
    <w:pPr>
      <w:spacing w:after="0" w:line="240" w:lineRule="auto"/>
      <w:ind w:firstLine="576"/>
    </w:pPr>
  </w:style>
  <w:style w:type="paragraph" w:styleId="Header">
    <w:name w:val="header"/>
    <w:basedOn w:val="Normal"/>
    <w:link w:val="HeaderChar"/>
    <w:uiPriority w:val="99"/>
    <w:unhideWhenUsed/>
    <w:rsid w:val="00147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50B"/>
  </w:style>
  <w:style w:type="paragraph" w:styleId="Footer">
    <w:name w:val="footer"/>
    <w:basedOn w:val="Normal"/>
    <w:link w:val="FooterChar"/>
    <w:uiPriority w:val="99"/>
    <w:unhideWhenUsed/>
    <w:rsid w:val="00147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50B"/>
  </w:style>
  <w:style w:type="character" w:customStyle="1" w:styleId="NoSpacingChar">
    <w:name w:val="No Spacing Char"/>
    <w:basedOn w:val="DefaultParagraphFont"/>
    <w:link w:val="NoSpacing"/>
    <w:uiPriority w:val="1"/>
    <w:rsid w:val="00A57FC0"/>
  </w:style>
  <w:style w:type="character" w:styleId="PlaceholderText">
    <w:name w:val="Placeholder Text"/>
    <w:basedOn w:val="DefaultParagraphFont"/>
    <w:uiPriority w:val="99"/>
    <w:semiHidden/>
    <w:rsid w:val="00A57FC0"/>
    <w:rPr>
      <w:color w:val="808080"/>
    </w:rPr>
  </w:style>
  <w:style w:type="paragraph" w:styleId="BalloonText">
    <w:name w:val="Balloon Text"/>
    <w:basedOn w:val="Normal"/>
    <w:link w:val="BalloonTextChar"/>
    <w:uiPriority w:val="99"/>
    <w:semiHidden/>
    <w:unhideWhenUsed/>
    <w:rsid w:val="008D3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CEA"/>
    <w:rPr>
      <w:rFonts w:ascii="Segoe UI" w:hAnsi="Segoe UI" w:cs="Segoe UI"/>
      <w:sz w:val="18"/>
      <w:szCs w:val="18"/>
    </w:rPr>
  </w:style>
  <w:style w:type="paragraph" w:styleId="FootnoteText">
    <w:name w:val="footnote text"/>
    <w:basedOn w:val="Normal"/>
    <w:link w:val="FootnoteTextChar"/>
    <w:uiPriority w:val="99"/>
    <w:semiHidden/>
    <w:unhideWhenUsed/>
    <w:rsid w:val="00D31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9A9"/>
    <w:rPr>
      <w:sz w:val="20"/>
      <w:szCs w:val="20"/>
    </w:rPr>
  </w:style>
  <w:style w:type="character" w:styleId="FootnoteReference">
    <w:name w:val="footnote reference"/>
    <w:basedOn w:val="DefaultParagraphFont"/>
    <w:uiPriority w:val="99"/>
    <w:semiHidden/>
    <w:unhideWhenUsed/>
    <w:rsid w:val="00D319A9"/>
    <w:rPr>
      <w:vertAlign w:val="superscript"/>
    </w:rPr>
  </w:style>
  <w:style w:type="paragraph" w:styleId="Title">
    <w:name w:val="Title"/>
    <w:basedOn w:val="Normal"/>
    <w:next w:val="Normal"/>
    <w:link w:val="TitleChar"/>
    <w:uiPriority w:val="10"/>
    <w:qFormat/>
    <w:rsid w:val="00A22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C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37B4A4-0A7E-4112-A5DF-CCE43B1C5F7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690453-3B97-4635-B380-8F111A74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3504</Words>
  <Characters>18643</Characters>
  <Application>Microsoft Office Word</Application>
  <DocSecurity>0</DocSecurity>
  <Lines>258</Lines>
  <Paragraphs>39</Paragraphs>
  <ScaleCrop>false</ScaleCrop>
  <HeadingPairs>
    <vt:vector size="2" baseType="variant">
      <vt:variant>
        <vt:lpstr>Title</vt:lpstr>
      </vt:variant>
      <vt:variant>
        <vt:i4>1</vt:i4>
      </vt:variant>
    </vt:vector>
  </HeadingPairs>
  <TitlesOfParts>
    <vt:vector size="1" baseType="lpstr">
      <vt:lpstr>Athanasius’ Thorn</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Athanasius’ Thorn</dc:title>
  <dc:subject>The Schismatic Egyptian Meletians</dc:subject>
  <dc:creator>John W. Gillis</dc:creator>
  <cp:keywords/>
  <dc:description/>
  <cp:lastModifiedBy>John Gillis</cp:lastModifiedBy>
  <cp:revision>50</cp:revision>
  <cp:lastPrinted>2014-01-23T04:05:00Z</cp:lastPrinted>
  <dcterms:created xsi:type="dcterms:W3CDTF">2023-01-21T20:45:00Z</dcterms:created>
  <dcterms:modified xsi:type="dcterms:W3CDTF">2023-01-21T22:35:00Z</dcterms:modified>
  <cp:category>January 22, 2014</cp:category>
</cp:coreProperties>
</file>